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390" w:rsidRPr="00D13B3A" w:rsidRDefault="00430390">
      <w:pPr>
        <w:rPr>
          <w:lang w:val="en-US"/>
        </w:rPr>
        <w:sectPr w:rsidR="00430390" w:rsidRPr="00D13B3A" w:rsidSect="00B22138">
          <w:headerReference w:type="even" r:id="rId8"/>
          <w:headerReference w:type="default" r:id="rId9"/>
          <w:footerReference w:type="even" r:id="rId10"/>
          <w:footerReference w:type="default" r:id="rId11"/>
          <w:headerReference w:type="first" r:id="rId12"/>
          <w:footerReference w:type="first" r:id="rId13"/>
          <w:type w:val="nextColumn"/>
          <w:pgSz w:w="11906" w:h="16838"/>
          <w:pgMar w:top="1701" w:right="1701" w:bottom="1701" w:left="1701" w:header="720" w:footer="720" w:gutter="0"/>
          <w:pgNumType w:fmt="lowerRoman" w:start="1" w:chapSep="emDash"/>
          <w:cols w:space="720"/>
          <w:titlePg/>
        </w:sectPr>
      </w:pPr>
      <w:bookmarkStart w:id="1" w:name="_Toc40887755"/>
      <w:bookmarkStart w:id="2" w:name="_Toc55040846"/>
    </w:p>
    <w:p w:rsidR="00913C1E" w:rsidRPr="00D13B3A" w:rsidRDefault="0025369F" w:rsidP="00437408">
      <w:pPr>
        <w:pStyle w:val="Ttulo1"/>
        <w:numPr>
          <w:ilvl w:val="0"/>
          <w:numId w:val="5"/>
        </w:numPr>
        <w:jc w:val="center"/>
        <w:rPr>
          <w:lang w:val="en-US"/>
        </w:rPr>
      </w:pPr>
      <w:bookmarkStart w:id="3" w:name="_Toc441526013"/>
      <w:bookmarkStart w:id="4" w:name="_Toc494032812"/>
      <w:bookmarkStart w:id="5" w:name="_Toc383673996"/>
      <w:bookmarkEnd w:id="1"/>
      <w:bookmarkEnd w:id="2"/>
      <w:r w:rsidRPr="00D13B3A">
        <w:rPr>
          <w:lang w:val="en-US"/>
        </w:rPr>
        <w:lastRenderedPageBreak/>
        <w:t>An i</w:t>
      </w:r>
      <w:r w:rsidR="000A57C4" w:rsidRPr="00D13B3A">
        <w:rPr>
          <w:lang w:val="en-US"/>
        </w:rPr>
        <w:t>ntroduction</w:t>
      </w:r>
      <w:bookmarkEnd w:id="3"/>
      <w:r w:rsidRPr="00D13B3A">
        <w:rPr>
          <w:lang w:val="en-US"/>
        </w:rPr>
        <w:t xml:space="preserve"> to Global Value Chains</w:t>
      </w:r>
      <w:bookmarkEnd w:id="4"/>
    </w:p>
    <w:bookmarkEnd w:id="5"/>
    <w:p w:rsidR="00430390" w:rsidRPr="00D13B3A" w:rsidRDefault="00430390">
      <w:pPr>
        <w:rPr>
          <w:lang w:val="en-US"/>
        </w:rPr>
      </w:pPr>
    </w:p>
    <w:p w:rsidR="00430390" w:rsidRPr="00D13B3A" w:rsidRDefault="00430390">
      <w:pPr>
        <w:rPr>
          <w:lang w:val="en-US"/>
        </w:rPr>
      </w:pPr>
    </w:p>
    <w:p w:rsidR="00BC07FE" w:rsidRPr="00D13B3A" w:rsidRDefault="00FD7C41" w:rsidP="00FB16C8">
      <w:pPr>
        <w:pStyle w:val="Corpodetexto"/>
        <w:spacing w:line="480" w:lineRule="auto"/>
        <w:ind w:firstLine="432"/>
        <w:rPr>
          <w:lang w:val="en-US"/>
        </w:rPr>
      </w:pPr>
      <w:r w:rsidRPr="00D13B3A">
        <w:rPr>
          <w:lang w:val="en-US"/>
        </w:rPr>
        <w:t>E</w:t>
      </w:r>
      <w:r w:rsidR="00E71118" w:rsidRPr="00D13B3A">
        <w:rPr>
          <w:lang w:val="en-US"/>
        </w:rPr>
        <w:t xml:space="preserve">conomic </w:t>
      </w:r>
      <w:r w:rsidR="00BC07FE" w:rsidRPr="00D13B3A">
        <w:rPr>
          <w:lang w:val="en-US"/>
        </w:rPr>
        <w:t xml:space="preserve">theories and </w:t>
      </w:r>
      <w:r w:rsidR="00FB16C8" w:rsidRPr="00D13B3A">
        <w:rPr>
          <w:lang w:val="en-US"/>
        </w:rPr>
        <w:t>statistic tools</w:t>
      </w:r>
      <w:r w:rsidR="00E71118" w:rsidRPr="00D13B3A">
        <w:rPr>
          <w:lang w:val="en-US"/>
        </w:rPr>
        <w:t xml:space="preserve"> take some time to </w:t>
      </w:r>
      <w:r w:rsidR="002533D5" w:rsidRPr="00D13B3A">
        <w:rPr>
          <w:lang w:val="en-US"/>
        </w:rPr>
        <w:t xml:space="preserve">adapt to </w:t>
      </w:r>
      <w:r w:rsidR="00E71118" w:rsidRPr="00D13B3A">
        <w:rPr>
          <w:lang w:val="en-US"/>
        </w:rPr>
        <w:t xml:space="preserve">new realities. </w:t>
      </w:r>
      <w:r w:rsidR="00BC07FE" w:rsidRPr="00D13B3A">
        <w:rPr>
          <w:lang w:val="en-US"/>
        </w:rPr>
        <w:t xml:space="preserve">It is </w:t>
      </w:r>
      <w:r w:rsidR="00FB16C8" w:rsidRPr="00D13B3A">
        <w:rPr>
          <w:lang w:val="en-US"/>
        </w:rPr>
        <w:t xml:space="preserve">also </w:t>
      </w:r>
      <w:r w:rsidR="00BC07FE" w:rsidRPr="00D13B3A">
        <w:rPr>
          <w:lang w:val="en-US"/>
        </w:rPr>
        <w:t xml:space="preserve">the case </w:t>
      </w:r>
      <w:r w:rsidR="00FB16C8" w:rsidRPr="00D13B3A">
        <w:rPr>
          <w:lang w:val="en-US"/>
        </w:rPr>
        <w:t xml:space="preserve">for </w:t>
      </w:r>
      <w:r w:rsidR="00E71118" w:rsidRPr="00D13B3A">
        <w:rPr>
          <w:lang w:val="en-US"/>
        </w:rPr>
        <w:t>intern</w:t>
      </w:r>
      <w:r w:rsidR="00FE3844" w:rsidRPr="00D13B3A">
        <w:rPr>
          <w:lang w:val="en-US"/>
        </w:rPr>
        <w:t>ational trade</w:t>
      </w:r>
      <w:r w:rsidR="00FB16C8" w:rsidRPr="00D13B3A">
        <w:rPr>
          <w:lang w:val="en-US"/>
        </w:rPr>
        <w:t xml:space="preserve">, where </w:t>
      </w:r>
      <w:r w:rsidR="00BC07FE" w:rsidRPr="00D13B3A">
        <w:rPr>
          <w:lang w:val="en-US"/>
        </w:rPr>
        <w:t>research</w:t>
      </w:r>
      <w:r w:rsidR="00FB16C8" w:rsidRPr="00D13B3A">
        <w:rPr>
          <w:lang w:val="en-US"/>
        </w:rPr>
        <w:t>ers and academia</w:t>
      </w:r>
      <w:r w:rsidR="00BC07FE" w:rsidRPr="00D13B3A">
        <w:rPr>
          <w:lang w:val="en-US"/>
        </w:rPr>
        <w:t xml:space="preserve"> </w:t>
      </w:r>
      <w:r w:rsidR="00FB16C8" w:rsidRPr="00D13B3A">
        <w:rPr>
          <w:lang w:val="en-US"/>
        </w:rPr>
        <w:t xml:space="preserve">only recently </w:t>
      </w:r>
      <w:r w:rsidR="00E71118" w:rsidRPr="00D13B3A">
        <w:rPr>
          <w:lang w:val="en-US"/>
        </w:rPr>
        <w:t xml:space="preserve">started to build </w:t>
      </w:r>
      <w:r w:rsidR="00FB16C8" w:rsidRPr="00D13B3A">
        <w:rPr>
          <w:lang w:val="en-US"/>
        </w:rPr>
        <w:t>upon</w:t>
      </w:r>
      <w:r w:rsidR="00E71118" w:rsidRPr="00D13B3A">
        <w:rPr>
          <w:lang w:val="en-US"/>
        </w:rPr>
        <w:t xml:space="preserve"> the new reality </w:t>
      </w:r>
      <w:r w:rsidR="00FB16C8" w:rsidRPr="00D13B3A">
        <w:rPr>
          <w:lang w:val="en-US"/>
        </w:rPr>
        <w:t xml:space="preserve">brought by </w:t>
      </w:r>
      <w:r w:rsidR="00E71118" w:rsidRPr="00D13B3A">
        <w:rPr>
          <w:lang w:val="en-US"/>
        </w:rPr>
        <w:t>globalization</w:t>
      </w:r>
      <w:r w:rsidRPr="00D13B3A">
        <w:rPr>
          <w:lang w:val="en-US"/>
        </w:rPr>
        <w:t>:</w:t>
      </w:r>
      <w:r w:rsidR="00E71118" w:rsidRPr="00D13B3A">
        <w:rPr>
          <w:lang w:val="en-US"/>
        </w:rPr>
        <w:t xml:space="preserve"> </w:t>
      </w:r>
      <w:r w:rsidRPr="00D13B3A">
        <w:rPr>
          <w:lang w:val="en-US"/>
        </w:rPr>
        <w:t>f</w:t>
      </w:r>
      <w:r w:rsidR="00E71118" w:rsidRPr="00D13B3A">
        <w:rPr>
          <w:lang w:val="en-US"/>
        </w:rPr>
        <w:t>rom “made in one country” to “made in the world”</w:t>
      </w:r>
      <w:r w:rsidR="00FB16C8" w:rsidRPr="00D13B3A">
        <w:rPr>
          <w:lang w:val="en-US"/>
        </w:rPr>
        <w:t>,</w:t>
      </w:r>
      <w:r w:rsidR="00E71118" w:rsidRPr="00D13B3A">
        <w:rPr>
          <w:lang w:val="en-US"/>
        </w:rPr>
        <w:t xml:space="preserve"> from “trade in goods” to “trade in tasks”</w:t>
      </w:r>
      <w:r w:rsidR="00FB16C8" w:rsidRPr="00D13B3A">
        <w:rPr>
          <w:lang w:val="en-US"/>
        </w:rPr>
        <w:t>,</w:t>
      </w:r>
      <w:r w:rsidR="00E71118" w:rsidRPr="00D13B3A">
        <w:rPr>
          <w:lang w:val="en-US"/>
        </w:rPr>
        <w:t xml:space="preserve"> and from “value of trade” to “trade in value added”</w:t>
      </w:r>
      <w:r w:rsidR="00005B24" w:rsidRPr="00D13B3A">
        <w:rPr>
          <w:lang w:val="en-US"/>
        </w:rPr>
        <w:t xml:space="preserve"> (</w:t>
      </w:r>
      <w:proofErr w:type="spellStart"/>
      <w:r w:rsidR="00005B24" w:rsidRPr="00D13B3A">
        <w:rPr>
          <w:lang w:val="en-US"/>
        </w:rPr>
        <w:t>TiVA</w:t>
      </w:r>
      <w:proofErr w:type="spellEnd"/>
      <w:r w:rsidR="00005B24" w:rsidRPr="00D13B3A">
        <w:rPr>
          <w:lang w:val="en-US"/>
        </w:rPr>
        <w:t>)</w:t>
      </w:r>
      <w:r w:rsidR="00E71118" w:rsidRPr="00D13B3A">
        <w:rPr>
          <w:lang w:val="en-US"/>
        </w:rPr>
        <w:t>.</w:t>
      </w:r>
      <w:r w:rsidR="00FB16C8" w:rsidRPr="00D13B3A">
        <w:rPr>
          <w:lang w:val="en-US"/>
        </w:rPr>
        <w:t xml:space="preserve"> </w:t>
      </w:r>
    </w:p>
    <w:p w:rsidR="002657C9" w:rsidRPr="00D13B3A" w:rsidRDefault="00F52CD7" w:rsidP="004479FC">
      <w:pPr>
        <w:spacing w:line="480" w:lineRule="auto"/>
        <w:ind w:firstLine="708"/>
        <w:jc w:val="both"/>
        <w:rPr>
          <w:lang w:val="en-US"/>
        </w:rPr>
      </w:pPr>
      <w:r w:rsidRPr="00D13B3A">
        <w:rPr>
          <w:lang w:val="en-US"/>
        </w:rPr>
        <w:t xml:space="preserve">The significant reduction in transaction </w:t>
      </w:r>
      <w:r w:rsidR="00FC33C8" w:rsidRPr="00D13B3A">
        <w:rPr>
          <w:lang w:val="en-US"/>
        </w:rPr>
        <w:t>costs</w:t>
      </w:r>
      <w:r w:rsidR="00F14D4E" w:rsidRPr="00D13B3A">
        <w:rPr>
          <w:lang w:val="en-US"/>
        </w:rPr>
        <w:t xml:space="preserve"> associated </w:t>
      </w:r>
      <w:r w:rsidR="00FB16C8" w:rsidRPr="00D13B3A">
        <w:rPr>
          <w:lang w:val="en-US"/>
        </w:rPr>
        <w:t xml:space="preserve">with </w:t>
      </w:r>
      <w:r w:rsidR="00F14D4E" w:rsidRPr="00D13B3A">
        <w:rPr>
          <w:lang w:val="en-US"/>
        </w:rPr>
        <w:t>globalization</w:t>
      </w:r>
      <w:r w:rsidR="00FC33C8" w:rsidRPr="00D13B3A">
        <w:rPr>
          <w:lang w:val="en-US"/>
        </w:rPr>
        <w:t xml:space="preserve">, which allowed for </w:t>
      </w:r>
      <w:r w:rsidRPr="00D13B3A">
        <w:rPr>
          <w:lang w:val="en-US"/>
        </w:rPr>
        <w:t>a fragmentation of the stages of production</w:t>
      </w:r>
      <w:r w:rsidR="00FC33C8" w:rsidRPr="00D13B3A">
        <w:rPr>
          <w:lang w:val="en-US"/>
        </w:rPr>
        <w:t xml:space="preserve">, </w:t>
      </w:r>
      <w:r w:rsidRPr="00D13B3A">
        <w:rPr>
          <w:lang w:val="en-US"/>
        </w:rPr>
        <w:t>occurred in two waves</w:t>
      </w:r>
      <w:r w:rsidR="00FB16C8" w:rsidRPr="00D13B3A">
        <w:rPr>
          <w:lang w:val="en-US"/>
        </w:rPr>
        <w:t>.</w:t>
      </w:r>
      <w:r w:rsidRPr="00D13B3A">
        <w:rPr>
          <w:lang w:val="en-US"/>
        </w:rPr>
        <w:t xml:space="preserve"> </w:t>
      </w:r>
      <w:r w:rsidR="00FB16C8" w:rsidRPr="00D13B3A">
        <w:rPr>
          <w:lang w:val="en-US"/>
        </w:rPr>
        <w:t>The first one was observed in the turn of the 19</w:t>
      </w:r>
      <w:r w:rsidR="00FB16C8" w:rsidRPr="00D13B3A">
        <w:rPr>
          <w:vertAlign w:val="superscript"/>
          <w:lang w:val="en-US"/>
        </w:rPr>
        <w:t>th</w:t>
      </w:r>
      <w:r w:rsidR="00FB16C8" w:rsidRPr="00D13B3A">
        <w:rPr>
          <w:lang w:val="en-US"/>
        </w:rPr>
        <w:t xml:space="preserve"> to the 20</w:t>
      </w:r>
      <w:r w:rsidR="00FB16C8" w:rsidRPr="00D13B3A">
        <w:rPr>
          <w:vertAlign w:val="superscript"/>
          <w:lang w:val="en-US"/>
        </w:rPr>
        <w:t>th</w:t>
      </w:r>
      <w:r w:rsidR="00FB16C8" w:rsidRPr="00D13B3A">
        <w:rPr>
          <w:lang w:val="en-US"/>
        </w:rPr>
        <w:t xml:space="preserve"> century, </w:t>
      </w:r>
      <w:r w:rsidRPr="00D13B3A">
        <w:rPr>
          <w:lang w:val="en-US"/>
        </w:rPr>
        <w:t xml:space="preserve">caused by the broad </w:t>
      </w:r>
      <w:r w:rsidR="00FB16C8" w:rsidRPr="00D13B3A">
        <w:rPr>
          <w:lang w:val="en-US"/>
        </w:rPr>
        <w:t>implementation</w:t>
      </w:r>
      <w:r w:rsidRPr="00D13B3A">
        <w:rPr>
          <w:lang w:val="en-US"/>
        </w:rPr>
        <w:t xml:space="preserve"> of the steam machine </w:t>
      </w:r>
      <w:r w:rsidR="00F14D4E" w:rsidRPr="00D13B3A">
        <w:rPr>
          <w:lang w:val="en-US"/>
        </w:rPr>
        <w:t>in</w:t>
      </w:r>
      <w:r w:rsidRPr="00D13B3A">
        <w:rPr>
          <w:lang w:val="en-US"/>
        </w:rPr>
        <w:t xml:space="preserve"> transportation</w:t>
      </w:r>
      <w:r w:rsidR="00FB16C8" w:rsidRPr="00D13B3A">
        <w:rPr>
          <w:lang w:val="en-US"/>
        </w:rPr>
        <w:t>.</w:t>
      </w:r>
      <w:r w:rsidRPr="00D13B3A">
        <w:rPr>
          <w:lang w:val="en-US"/>
        </w:rPr>
        <w:t xml:space="preserve"> </w:t>
      </w:r>
      <w:r w:rsidR="00FB16C8" w:rsidRPr="00D13B3A">
        <w:rPr>
          <w:lang w:val="en-US"/>
        </w:rPr>
        <w:t xml:space="preserve">The second was witnessed </w:t>
      </w:r>
      <w:r w:rsidR="003E24E9" w:rsidRPr="00D13B3A">
        <w:rPr>
          <w:lang w:val="en-US"/>
        </w:rPr>
        <w:t xml:space="preserve">in the </w:t>
      </w:r>
      <w:r w:rsidR="00DB6365" w:rsidRPr="00D13B3A">
        <w:rPr>
          <w:lang w:val="en-US"/>
        </w:rPr>
        <w:t>second half of the 20</w:t>
      </w:r>
      <w:r w:rsidR="00DB6365" w:rsidRPr="00D13B3A">
        <w:rPr>
          <w:vertAlign w:val="superscript"/>
          <w:lang w:val="en-US"/>
        </w:rPr>
        <w:t>th</w:t>
      </w:r>
      <w:r w:rsidR="00DB6365" w:rsidRPr="00D13B3A">
        <w:rPr>
          <w:lang w:val="en-US"/>
        </w:rPr>
        <w:t xml:space="preserve"> century, and particularly in the 1990s, </w:t>
      </w:r>
      <w:r w:rsidRPr="00D13B3A">
        <w:rPr>
          <w:lang w:val="en-US"/>
        </w:rPr>
        <w:t xml:space="preserve">caused by the </w:t>
      </w:r>
      <w:r w:rsidR="00FB16C8" w:rsidRPr="00D13B3A">
        <w:rPr>
          <w:lang w:val="en-US"/>
        </w:rPr>
        <w:t>wide</w:t>
      </w:r>
      <w:r w:rsidRPr="00D13B3A">
        <w:rPr>
          <w:lang w:val="en-US"/>
        </w:rPr>
        <w:t xml:space="preserve"> </w:t>
      </w:r>
      <w:r w:rsidR="00FB16C8" w:rsidRPr="00D13B3A">
        <w:rPr>
          <w:lang w:val="en-US"/>
        </w:rPr>
        <w:t xml:space="preserve">use </w:t>
      </w:r>
      <w:r w:rsidRPr="00D13B3A">
        <w:rPr>
          <w:lang w:val="en-US"/>
        </w:rPr>
        <w:t>of Information and Communication Technologies (ICT).</w:t>
      </w:r>
      <w:r w:rsidR="00AC71F0" w:rsidRPr="00D13B3A">
        <w:rPr>
          <w:lang w:val="en-US"/>
        </w:rPr>
        <w:t xml:space="preserve"> </w:t>
      </w:r>
      <w:r w:rsidR="00FB16C8" w:rsidRPr="00D13B3A">
        <w:rPr>
          <w:lang w:val="en-US"/>
        </w:rPr>
        <w:t xml:space="preserve">This second wave, allowing for the fragmentation of production in several stages, had particular impact in international trade, with </w:t>
      </w:r>
      <w:r w:rsidR="00E024B1" w:rsidRPr="00D13B3A">
        <w:rPr>
          <w:lang w:val="en-US"/>
        </w:rPr>
        <w:t xml:space="preserve">cross-border trade in intermediate goods </w:t>
      </w:r>
      <w:r w:rsidR="00FB16C8" w:rsidRPr="00D13B3A">
        <w:rPr>
          <w:lang w:val="en-US"/>
        </w:rPr>
        <w:t>becoming dominant in</w:t>
      </w:r>
      <w:r w:rsidR="00E024B1" w:rsidRPr="00D13B3A">
        <w:rPr>
          <w:lang w:val="en-US"/>
        </w:rPr>
        <w:t xml:space="preserve"> world merchandise trade. </w:t>
      </w:r>
      <w:r w:rsidR="00596379" w:rsidRPr="00D13B3A">
        <w:rPr>
          <w:lang w:val="en-US"/>
        </w:rPr>
        <w:t xml:space="preserve">This new reality represents a challenge for traditional </w:t>
      </w:r>
      <w:r w:rsidR="00E024B1" w:rsidRPr="00D13B3A">
        <w:rPr>
          <w:lang w:val="en-US"/>
        </w:rPr>
        <w:t>trade policies</w:t>
      </w:r>
      <w:r w:rsidR="00596379" w:rsidRPr="00D13B3A">
        <w:rPr>
          <w:lang w:val="en-US"/>
        </w:rPr>
        <w:t xml:space="preserve"> and </w:t>
      </w:r>
      <w:r w:rsidR="00E024B1" w:rsidRPr="00D13B3A">
        <w:rPr>
          <w:lang w:val="en-US"/>
        </w:rPr>
        <w:t>statistics</w:t>
      </w:r>
      <w:r w:rsidR="00596379" w:rsidRPr="00D13B3A">
        <w:rPr>
          <w:lang w:val="en-US"/>
        </w:rPr>
        <w:t>, which</w:t>
      </w:r>
      <w:r w:rsidR="00E024B1" w:rsidRPr="00D13B3A">
        <w:rPr>
          <w:lang w:val="en-US"/>
        </w:rPr>
        <w:t xml:space="preserve"> fail</w:t>
      </w:r>
      <w:r w:rsidR="002533D5" w:rsidRPr="00D13B3A">
        <w:rPr>
          <w:lang w:val="en-US"/>
        </w:rPr>
        <w:t>ed</w:t>
      </w:r>
      <w:r w:rsidR="00E024B1" w:rsidRPr="00D13B3A">
        <w:rPr>
          <w:lang w:val="en-US"/>
        </w:rPr>
        <w:t xml:space="preserve"> to properly reflect the current complexity of international trade</w:t>
      </w:r>
      <w:r w:rsidR="00B872AC" w:rsidRPr="00D13B3A">
        <w:rPr>
          <w:lang w:val="en-US"/>
        </w:rPr>
        <w:t xml:space="preserve"> so far</w:t>
      </w:r>
      <w:r w:rsidR="00E024B1" w:rsidRPr="00D13B3A">
        <w:rPr>
          <w:lang w:val="en-US"/>
        </w:rPr>
        <w:t xml:space="preserve">. </w:t>
      </w:r>
      <w:r w:rsidR="00E226FD">
        <w:rPr>
          <w:lang w:val="en-US"/>
        </w:rPr>
        <w:t>W</w:t>
      </w:r>
      <w:r w:rsidR="004479FC" w:rsidRPr="00D13B3A">
        <w:rPr>
          <w:lang w:val="en-US"/>
        </w:rPr>
        <w:t>e will focus on one of the new phenomenon that recently emerged due to globalization, namely the so-called Global Value Chains (GVC</w:t>
      </w:r>
      <w:r w:rsidR="00AD29A4" w:rsidRPr="00D13B3A">
        <w:rPr>
          <w:lang w:val="en-US"/>
        </w:rPr>
        <w:t>s</w:t>
      </w:r>
      <w:r w:rsidR="004479FC" w:rsidRPr="00D13B3A">
        <w:rPr>
          <w:lang w:val="en-US"/>
        </w:rPr>
        <w:t>), defined as worldwide production processes where fragmented production blocks are connected by service links.</w:t>
      </w:r>
    </w:p>
    <w:p w:rsidR="007A0859" w:rsidRPr="00D13B3A" w:rsidRDefault="007A0859">
      <w:pPr>
        <w:rPr>
          <w:lang w:val="en-US"/>
        </w:rPr>
      </w:pPr>
    </w:p>
    <w:p w:rsidR="00CF1C86" w:rsidRPr="00D13B3A" w:rsidRDefault="0025369F" w:rsidP="00437408">
      <w:pPr>
        <w:pStyle w:val="Cabealho2"/>
        <w:numPr>
          <w:ilvl w:val="1"/>
          <w:numId w:val="5"/>
        </w:numPr>
        <w:rPr>
          <w:b w:val="0"/>
          <w:lang w:val="en-US"/>
        </w:rPr>
      </w:pPr>
      <w:bookmarkStart w:id="6" w:name="_Toc494032813"/>
      <w:r w:rsidRPr="00D13B3A">
        <w:rPr>
          <w:b w:val="0"/>
          <w:lang w:val="en-US"/>
        </w:rPr>
        <w:t>What origin?</w:t>
      </w:r>
      <w:bookmarkEnd w:id="6"/>
    </w:p>
    <w:p w:rsidR="00CF1C86" w:rsidRPr="00D13B3A" w:rsidRDefault="00CF1C86" w:rsidP="00247BEB">
      <w:pPr>
        <w:pStyle w:val="Corpodetexto"/>
        <w:spacing w:line="480" w:lineRule="auto"/>
        <w:ind w:firstLine="432"/>
        <w:rPr>
          <w:lang w:val="en-US"/>
        </w:rPr>
      </w:pPr>
    </w:p>
    <w:p w:rsidR="00275319" w:rsidRPr="00D13B3A" w:rsidRDefault="00B356FE" w:rsidP="00977EC1">
      <w:pPr>
        <w:pStyle w:val="Corpodetexto"/>
        <w:spacing w:line="480" w:lineRule="auto"/>
        <w:ind w:firstLine="709"/>
        <w:rPr>
          <w:color w:val="000000"/>
          <w:shd w:val="clear" w:color="auto" w:fill="FFFFFF"/>
          <w:lang w:val="en-US"/>
        </w:rPr>
      </w:pPr>
      <w:r w:rsidRPr="00D13B3A">
        <w:rPr>
          <w:lang w:val="en-US"/>
        </w:rPr>
        <w:lastRenderedPageBreak/>
        <w:t xml:space="preserve">There seems to be a consensus between scholars that </w:t>
      </w:r>
      <w:r w:rsidR="00C61B5F" w:rsidRPr="00D13B3A">
        <w:rPr>
          <w:lang w:val="en-US"/>
        </w:rPr>
        <w:t>globalization</w:t>
      </w:r>
      <w:r w:rsidRPr="00D13B3A">
        <w:rPr>
          <w:lang w:val="en-US"/>
        </w:rPr>
        <w:t xml:space="preserve"> started with the European age of discoveries and voyages to the New World and intensified at a rapid rate in the 20</w:t>
      </w:r>
      <w:r w:rsidRPr="00D13B3A">
        <w:rPr>
          <w:vertAlign w:val="superscript"/>
          <w:lang w:val="en-US"/>
        </w:rPr>
        <w:t>th</w:t>
      </w:r>
      <w:r w:rsidRPr="00D13B3A">
        <w:rPr>
          <w:lang w:val="en-US"/>
        </w:rPr>
        <w:t xml:space="preserve"> century, especially during the </w:t>
      </w:r>
      <w:hyperlink r:id="rId14" w:tooltip="Post Cold War era" w:history="1">
        <w:r w:rsidRPr="00D13B3A">
          <w:rPr>
            <w:lang w:val="en-US"/>
          </w:rPr>
          <w:t>Post</w:t>
        </w:r>
        <w:r w:rsidR="00CF1C86" w:rsidRPr="00D13B3A">
          <w:rPr>
            <w:lang w:val="en-US"/>
          </w:rPr>
          <w:t>-</w:t>
        </w:r>
        <w:r w:rsidRPr="00D13B3A">
          <w:rPr>
            <w:lang w:val="en-US"/>
          </w:rPr>
          <w:t>Cold War era</w:t>
        </w:r>
      </w:hyperlink>
      <w:r w:rsidRPr="00D13B3A">
        <w:rPr>
          <w:lang w:val="en-US"/>
        </w:rPr>
        <w:t xml:space="preserve">. </w:t>
      </w:r>
      <w:r w:rsidRPr="00D13B3A">
        <w:rPr>
          <w:color w:val="000000"/>
          <w:shd w:val="clear" w:color="auto" w:fill="FFFFFF"/>
          <w:lang w:val="en-US"/>
        </w:rPr>
        <w:t xml:space="preserve">The term globalization has been in increasing use since the mid-1980s and </w:t>
      </w:r>
      <w:r w:rsidR="00275319" w:rsidRPr="00D13B3A">
        <w:rPr>
          <w:color w:val="000000"/>
          <w:shd w:val="clear" w:color="auto" w:fill="FFFFFF"/>
          <w:lang w:val="en-US"/>
        </w:rPr>
        <w:t xml:space="preserve">especially since the mid-1990s. </w:t>
      </w:r>
    </w:p>
    <w:p w:rsidR="002C4F22" w:rsidRPr="00D13B3A" w:rsidRDefault="00977EC1" w:rsidP="00247BEB">
      <w:pPr>
        <w:pStyle w:val="Corpodetexto"/>
        <w:spacing w:line="480" w:lineRule="auto"/>
        <w:ind w:firstLine="709"/>
        <w:rPr>
          <w:lang w:val="en-US"/>
        </w:rPr>
      </w:pPr>
      <w:r w:rsidRPr="00D13B3A">
        <w:rPr>
          <w:color w:val="000000"/>
          <w:shd w:val="clear" w:color="auto" w:fill="FFFFFF"/>
          <w:lang w:val="en-US"/>
        </w:rPr>
        <w:t>Although critical for several areas of knowledge, u</w:t>
      </w:r>
      <w:r w:rsidR="00C101F9" w:rsidRPr="00D13B3A">
        <w:rPr>
          <w:color w:val="000000"/>
          <w:shd w:val="clear" w:color="auto" w:fill="FFFFFF"/>
          <w:lang w:val="en-US"/>
        </w:rPr>
        <w:t xml:space="preserve">nderstanding </w:t>
      </w:r>
      <w:r w:rsidR="00C61B5F" w:rsidRPr="00D13B3A">
        <w:rPr>
          <w:color w:val="000000"/>
          <w:shd w:val="clear" w:color="auto" w:fill="FFFFFF"/>
          <w:lang w:val="en-US"/>
        </w:rPr>
        <w:t>globalization</w:t>
      </w:r>
      <w:r w:rsidR="00C101F9" w:rsidRPr="00D13B3A">
        <w:rPr>
          <w:color w:val="000000"/>
          <w:shd w:val="clear" w:color="auto" w:fill="FFFFFF"/>
          <w:lang w:val="en-US"/>
        </w:rPr>
        <w:t xml:space="preserve"> is not an easy task.</w:t>
      </w:r>
      <w:r w:rsidR="00275319" w:rsidRPr="00D13B3A">
        <w:rPr>
          <w:color w:val="000000"/>
          <w:shd w:val="clear" w:color="auto" w:fill="FFFFFF"/>
          <w:lang w:val="en-US"/>
        </w:rPr>
        <w:t xml:space="preserve"> </w:t>
      </w:r>
      <w:r w:rsidR="000629EB" w:rsidRPr="00D13B3A">
        <w:rPr>
          <w:color w:val="000000"/>
          <w:shd w:val="clear" w:color="auto" w:fill="FFFFFF"/>
          <w:lang w:val="en-US"/>
        </w:rPr>
        <w:t>Baldwin</w:t>
      </w:r>
      <w:r w:rsidR="00B356FE" w:rsidRPr="00D13B3A">
        <w:rPr>
          <w:color w:val="000000"/>
          <w:shd w:val="clear" w:color="auto" w:fill="FFFFFF"/>
          <w:lang w:val="en-US"/>
        </w:rPr>
        <w:t xml:space="preserve"> (2011)</w:t>
      </w:r>
      <w:r w:rsidR="00275319" w:rsidRPr="00D13B3A">
        <w:rPr>
          <w:color w:val="000000"/>
          <w:shd w:val="clear" w:color="auto" w:fill="FFFFFF"/>
          <w:lang w:val="en-US"/>
        </w:rPr>
        <w:t xml:space="preserve"> </w:t>
      </w:r>
      <w:r w:rsidR="00B356FE" w:rsidRPr="00D13B3A">
        <w:rPr>
          <w:color w:val="000000"/>
          <w:shd w:val="clear" w:color="auto" w:fill="FFFFFF"/>
          <w:lang w:val="en-US"/>
        </w:rPr>
        <w:t>provides with a</w:t>
      </w:r>
      <w:r w:rsidRPr="00D13B3A">
        <w:rPr>
          <w:color w:val="000000"/>
          <w:shd w:val="clear" w:color="auto" w:fill="FFFFFF"/>
          <w:lang w:val="en-US"/>
        </w:rPr>
        <w:t>n</w:t>
      </w:r>
      <w:r w:rsidR="00B356FE" w:rsidRPr="00D13B3A">
        <w:rPr>
          <w:color w:val="000000"/>
          <w:shd w:val="clear" w:color="auto" w:fill="FFFFFF"/>
          <w:lang w:val="en-US"/>
        </w:rPr>
        <w:t xml:space="preserve"> </w:t>
      </w:r>
      <w:r w:rsidRPr="00D13B3A">
        <w:rPr>
          <w:color w:val="000000"/>
          <w:shd w:val="clear" w:color="auto" w:fill="FFFFFF"/>
          <w:lang w:val="en-US"/>
        </w:rPr>
        <w:t xml:space="preserve">important </w:t>
      </w:r>
      <w:r w:rsidR="00B356FE" w:rsidRPr="00D13B3A">
        <w:rPr>
          <w:color w:val="000000"/>
          <w:shd w:val="clear" w:color="auto" w:fill="FFFFFF"/>
          <w:lang w:val="en-US"/>
        </w:rPr>
        <w:t>contribution to understand this phenomenon.</w:t>
      </w:r>
      <w:r w:rsidR="00275319" w:rsidRPr="00D13B3A">
        <w:rPr>
          <w:color w:val="000000"/>
          <w:shd w:val="clear" w:color="auto" w:fill="FFFFFF"/>
          <w:lang w:val="en-US"/>
        </w:rPr>
        <w:t xml:space="preserve"> </w:t>
      </w:r>
      <w:r w:rsidR="00B356FE" w:rsidRPr="00D13B3A">
        <w:rPr>
          <w:lang w:val="en-US"/>
        </w:rPr>
        <w:t>Th</w:t>
      </w:r>
      <w:r w:rsidR="00BA2A46" w:rsidRPr="00D13B3A">
        <w:rPr>
          <w:lang w:val="en-US"/>
        </w:rPr>
        <w:t>is</w:t>
      </w:r>
      <w:r w:rsidR="00B356FE" w:rsidRPr="00D13B3A">
        <w:rPr>
          <w:lang w:val="en-US"/>
        </w:rPr>
        <w:t xml:space="preserve"> author </w:t>
      </w:r>
      <w:r w:rsidR="00BA2A46" w:rsidRPr="00D13B3A">
        <w:rPr>
          <w:lang w:val="en-US"/>
        </w:rPr>
        <w:t xml:space="preserve">states </w:t>
      </w:r>
      <w:r w:rsidR="00FF46D8" w:rsidRPr="00D13B3A">
        <w:rPr>
          <w:lang w:val="en-US"/>
        </w:rPr>
        <w:t>that, in the pre-</w:t>
      </w:r>
      <w:r w:rsidR="00C61B5F" w:rsidRPr="00D13B3A">
        <w:rPr>
          <w:lang w:val="en-US"/>
        </w:rPr>
        <w:t>globalized</w:t>
      </w:r>
      <w:r w:rsidR="00FF46D8" w:rsidRPr="00D13B3A">
        <w:rPr>
          <w:lang w:val="en-US"/>
        </w:rPr>
        <w:t xml:space="preserve"> world, transactions were limited by three major factors: </w:t>
      </w:r>
      <w:r w:rsidR="00BA2A46" w:rsidRPr="00D13B3A">
        <w:rPr>
          <w:lang w:val="en-US"/>
        </w:rPr>
        <w:t>(</w:t>
      </w:r>
      <w:proofErr w:type="spellStart"/>
      <w:r w:rsidR="00BA2A46" w:rsidRPr="00D13B3A">
        <w:rPr>
          <w:lang w:val="en-US"/>
        </w:rPr>
        <w:t>i</w:t>
      </w:r>
      <w:proofErr w:type="spellEnd"/>
      <w:r w:rsidR="00BA2A46" w:rsidRPr="00D13B3A">
        <w:rPr>
          <w:lang w:val="en-US"/>
        </w:rPr>
        <w:t xml:space="preserve">) </w:t>
      </w:r>
      <w:r w:rsidR="00FF46D8" w:rsidRPr="00D13B3A">
        <w:rPr>
          <w:lang w:val="en-US"/>
        </w:rPr>
        <w:t>transport</w:t>
      </w:r>
      <w:r w:rsidR="00275319" w:rsidRPr="00D13B3A">
        <w:rPr>
          <w:lang w:val="en-US"/>
        </w:rPr>
        <w:t>;</w:t>
      </w:r>
      <w:r w:rsidR="00FF46D8" w:rsidRPr="00D13B3A">
        <w:rPr>
          <w:lang w:val="en-US"/>
        </w:rPr>
        <w:t xml:space="preserve"> </w:t>
      </w:r>
      <w:r w:rsidR="00BA2A46" w:rsidRPr="00D13B3A">
        <w:rPr>
          <w:lang w:val="en-US"/>
        </w:rPr>
        <w:t xml:space="preserve">(ii) </w:t>
      </w:r>
      <w:r w:rsidR="00FF46D8" w:rsidRPr="00D13B3A">
        <w:rPr>
          <w:lang w:val="en-US"/>
        </w:rPr>
        <w:t>communication</w:t>
      </w:r>
      <w:r w:rsidR="00275319" w:rsidRPr="00D13B3A">
        <w:rPr>
          <w:lang w:val="en-US"/>
        </w:rPr>
        <w:t>;</w:t>
      </w:r>
      <w:r w:rsidR="00FF46D8" w:rsidRPr="00D13B3A">
        <w:rPr>
          <w:lang w:val="en-US"/>
        </w:rPr>
        <w:t xml:space="preserve"> and </w:t>
      </w:r>
      <w:r w:rsidR="00BA2A46" w:rsidRPr="00D13B3A">
        <w:rPr>
          <w:lang w:val="en-US"/>
        </w:rPr>
        <w:t xml:space="preserve">(iii) </w:t>
      </w:r>
      <w:r w:rsidR="00FF46D8" w:rsidRPr="00D13B3A">
        <w:rPr>
          <w:lang w:val="en-US"/>
        </w:rPr>
        <w:t xml:space="preserve">face-to-face constrain. </w:t>
      </w:r>
      <w:r w:rsidR="00275319" w:rsidRPr="00D13B3A">
        <w:rPr>
          <w:lang w:val="en-US"/>
        </w:rPr>
        <w:t>P</w:t>
      </w:r>
      <w:r w:rsidR="00FF46D8" w:rsidRPr="00D13B3A">
        <w:rPr>
          <w:lang w:val="en-US"/>
        </w:rPr>
        <w:t xml:space="preserve">roduction was dispersed nationally, bundled </w:t>
      </w:r>
      <w:r w:rsidR="00BA2A46" w:rsidRPr="00D13B3A">
        <w:rPr>
          <w:lang w:val="en-US"/>
        </w:rPr>
        <w:t xml:space="preserve">to </w:t>
      </w:r>
      <w:r w:rsidR="00FF46D8" w:rsidRPr="00D13B3A">
        <w:rPr>
          <w:lang w:val="en-US"/>
        </w:rPr>
        <w:t>consumption, and no major int</w:t>
      </w:r>
      <w:r w:rsidR="002A78FF" w:rsidRPr="00D13B3A">
        <w:rPr>
          <w:lang w:val="en-US"/>
        </w:rPr>
        <w:t>ernational flows were observed.</w:t>
      </w:r>
      <w:r w:rsidR="00BA2A46" w:rsidRPr="00D13B3A">
        <w:rPr>
          <w:lang w:val="en-US"/>
        </w:rPr>
        <w:t xml:space="preserve"> According to this author, a</w:t>
      </w:r>
      <w:r w:rsidR="00FF46D8" w:rsidRPr="00D13B3A">
        <w:rPr>
          <w:lang w:val="en-US"/>
        </w:rPr>
        <w:t xml:space="preserve"> first unbundling of international trade </w:t>
      </w:r>
      <w:r w:rsidR="00275319" w:rsidRPr="00D13B3A">
        <w:rPr>
          <w:lang w:val="en-US"/>
        </w:rPr>
        <w:t xml:space="preserve">occurred </w:t>
      </w:r>
      <w:r w:rsidR="00FF46D8" w:rsidRPr="00D13B3A">
        <w:rPr>
          <w:lang w:val="en-US"/>
        </w:rPr>
        <w:t xml:space="preserve">due to the </w:t>
      </w:r>
      <w:r w:rsidR="00275319" w:rsidRPr="00D13B3A">
        <w:rPr>
          <w:lang w:val="en-US"/>
        </w:rPr>
        <w:t xml:space="preserve">wide use </w:t>
      </w:r>
      <w:r w:rsidR="00FF46D8" w:rsidRPr="00D13B3A">
        <w:rPr>
          <w:lang w:val="en-US"/>
        </w:rPr>
        <w:t xml:space="preserve">of the steam machine </w:t>
      </w:r>
      <w:r w:rsidR="00275319" w:rsidRPr="00D13B3A">
        <w:rPr>
          <w:lang w:val="en-US"/>
        </w:rPr>
        <w:t xml:space="preserve">in </w:t>
      </w:r>
      <w:r w:rsidR="00FF46D8" w:rsidRPr="00D13B3A">
        <w:rPr>
          <w:lang w:val="en-US"/>
        </w:rPr>
        <w:t xml:space="preserve">transportation </w:t>
      </w:r>
      <w:r w:rsidR="00275319" w:rsidRPr="00D13B3A">
        <w:rPr>
          <w:lang w:val="en-US"/>
        </w:rPr>
        <w:t xml:space="preserve">by the end of the </w:t>
      </w:r>
      <w:r w:rsidR="00F85508" w:rsidRPr="00D13B3A">
        <w:rPr>
          <w:lang w:val="en-US"/>
        </w:rPr>
        <w:t>19</w:t>
      </w:r>
      <w:r w:rsidR="00F85508" w:rsidRPr="00D13B3A">
        <w:rPr>
          <w:vertAlign w:val="superscript"/>
          <w:lang w:val="en-US"/>
        </w:rPr>
        <w:t>th</w:t>
      </w:r>
      <w:r w:rsidR="00F85508" w:rsidRPr="00D13B3A">
        <w:rPr>
          <w:lang w:val="en-US"/>
        </w:rPr>
        <w:t xml:space="preserve"> </w:t>
      </w:r>
      <w:r w:rsidR="00FF46D8" w:rsidRPr="00D13B3A">
        <w:rPr>
          <w:lang w:val="en-US"/>
        </w:rPr>
        <w:t xml:space="preserve">century. </w:t>
      </w:r>
      <w:r w:rsidR="0012233E">
        <w:fldChar w:fldCharType="begin"/>
      </w:r>
      <w:r w:rsidR="0012233E">
        <w:instrText xml:space="preserve"> REF _Ref356887058 \h  \* MERGEFORMAT </w:instrText>
      </w:r>
      <w:r w:rsidR="0012233E">
        <w:fldChar w:fldCharType="separate"/>
      </w:r>
      <w:r w:rsidR="00DE6A26" w:rsidRPr="00DE6A26">
        <w:rPr>
          <w:lang w:val="en-US"/>
        </w:rPr>
        <w:t>Figure 1</w:t>
      </w:r>
      <w:r w:rsidR="0012233E">
        <w:fldChar w:fldCharType="end"/>
      </w:r>
      <w:r w:rsidR="00BA2A46" w:rsidRPr="00D13B3A">
        <w:rPr>
          <w:lang w:val="en-US"/>
        </w:rPr>
        <w:t xml:space="preserve"> below shows how the introduction of the steam machine </w:t>
      </w:r>
      <w:r w:rsidR="00B356FE" w:rsidRPr="00D13B3A">
        <w:rPr>
          <w:lang w:val="en-US"/>
        </w:rPr>
        <w:t>caused a rapid and significant decrease in transportation costs</w:t>
      </w:r>
      <w:r w:rsidR="00BA2A46" w:rsidRPr="00D13B3A">
        <w:rPr>
          <w:lang w:val="en-US"/>
        </w:rPr>
        <w:t>: t</w:t>
      </w:r>
      <w:r w:rsidR="003140FD" w:rsidRPr="00D13B3A">
        <w:rPr>
          <w:lang w:val="en-US"/>
        </w:rPr>
        <w:t xml:space="preserve">he global trade cost measure </w:t>
      </w:r>
      <w:r w:rsidR="00BA2A46" w:rsidRPr="00D13B3A">
        <w:rPr>
          <w:lang w:val="en-US"/>
        </w:rPr>
        <w:t>used by the author</w:t>
      </w:r>
      <w:r w:rsidR="00BA2A46" w:rsidRPr="00D13B3A">
        <w:rPr>
          <w:rStyle w:val="Refdenotaderodap"/>
          <w:lang w:val="en-US"/>
        </w:rPr>
        <w:footnoteReference w:id="2"/>
      </w:r>
      <w:r w:rsidR="00BA2A46" w:rsidRPr="00D13B3A">
        <w:rPr>
          <w:lang w:val="en-US"/>
        </w:rPr>
        <w:t xml:space="preserve"> </w:t>
      </w:r>
      <w:r w:rsidR="003140FD" w:rsidRPr="00D13B3A">
        <w:rPr>
          <w:lang w:val="en-US"/>
        </w:rPr>
        <w:t>decrease</w:t>
      </w:r>
      <w:r w:rsidR="00BA2A46" w:rsidRPr="00D13B3A">
        <w:rPr>
          <w:lang w:val="en-US"/>
        </w:rPr>
        <w:t>d</w:t>
      </w:r>
      <w:r w:rsidR="003140FD" w:rsidRPr="00D13B3A">
        <w:rPr>
          <w:lang w:val="en-US"/>
        </w:rPr>
        <w:t xml:space="preserve"> from</w:t>
      </w:r>
      <w:r w:rsidR="00B340DD" w:rsidRPr="00D13B3A">
        <w:rPr>
          <w:lang w:val="en-US"/>
        </w:rPr>
        <w:t xml:space="preserve"> above</w:t>
      </w:r>
      <w:r w:rsidR="003140FD" w:rsidRPr="00D13B3A">
        <w:rPr>
          <w:lang w:val="en-US"/>
        </w:rPr>
        <w:t xml:space="preserve"> 1.8 in 1870 to </w:t>
      </w:r>
      <w:r w:rsidR="00B340DD" w:rsidRPr="00D13B3A">
        <w:rPr>
          <w:lang w:val="en-US"/>
        </w:rPr>
        <w:t xml:space="preserve">slightly above </w:t>
      </w:r>
      <w:r w:rsidR="00BA2A46" w:rsidRPr="00D13B3A">
        <w:rPr>
          <w:lang w:val="en-US"/>
        </w:rPr>
        <w:t>1.2 in 1912 (see left axis of the left-handed graph)</w:t>
      </w:r>
      <w:r w:rsidR="003140FD" w:rsidRPr="00D13B3A">
        <w:rPr>
          <w:lang w:val="en-US"/>
        </w:rPr>
        <w:t>.</w:t>
      </w:r>
      <w:r w:rsidR="00BA2A46" w:rsidRPr="00D13B3A">
        <w:rPr>
          <w:lang w:val="en-US"/>
        </w:rPr>
        <w:t xml:space="preserve"> In turn, the decrease in trade costs allowed for the international dispersion of products: the global trade flow</w:t>
      </w:r>
      <w:r w:rsidR="004E4830" w:rsidRPr="00D13B3A">
        <w:rPr>
          <w:lang w:val="en-US"/>
        </w:rPr>
        <w:t>s</w:t>
      </w:r>
      <w:r w:rsidR="00BA2A46" w:rsidRPr="00D13B3A">
        <w:rPr>
          <w:lang w:val="en-US"/>
        </w:rPr>
        <w:t xml:space="preserve"> measure used </w:t>
      </w:r>
      <w:r w:rsidR="004E4830" w:rsidRPr="00D13B3A">
        <w:rPr>
          <w:lang w:val="en-US"/>
        </w:rPr>
        <w:t xml:space="preserve">by the author </w:t>
      </w:r>
      <w:r w:rsidR="00BA2A46" w:rsidRPr="00D13B3A">
        <w:rPr>
          <w:lang w:val="en-US"/>
        </w:rPr>
        <w:t>increased from nearly 11 in 1870 to slightly above 12.5 in 1912 (see right axis of the left-handed graph).</w:t>
      </w:r>
      <w:r w:rsidR="002C4F22" w:rsidRPr="00D13B3A">
        <w:rPr>
          <w:lang w:val="en-US"/>
        </w:rPr>
        <w:t xml:space="preserve"> A second unbundling of international trade occurred in the second half of the 20</w:t>
      </w:r>
      <w:r w:rsidR="002C4F22" w:rsidRPr="00D13B3A">
        <w:rPr>
          <w:vertAlign w:val="superscript"/>
          <w:lang w:val="en-US"/>
        </w:rPr>
        <w:t>th</w:t>
      </w:r>
      <w:r w:rsidR="002C4F22" w:rsidRPr="00D13B3A">
        <w:rPr>
          <w:lang w:val="en-US"/>
        </w:rPr>
        <w:t xml:space="preserve"> century. </w:t>
      </w:r>
      <w:r w:rsidR="00630AD6" w:rsidRPr="00D13B3A">
        <w:rPr>
          <w:lang w:val="en-US"/>
        </w:rPr>
        <w:t>During this period, the average global trade cost measure decreased from nearly 1.4 in 1950 to slightly above 1.2 in 1974</w:t>
      </w:r>
      <w:r w:rsidR="00655A33">
        <w:rPr>
          <w:lang w:val="en-US"/>
        </w:rPr>
        <w:t xml:space="preserve">, while </w:t>
      </w:r>
      <w:r w:rsidR="002C4F22" w:rsidRPr="00D13B3A">
        <w:rPr>
          <w:lang w:val="en-US"/>
        </w:rPr>
        <w:t xml:space="preserve">the measure of global trade flows increased from slightly below 12.5 to around 14.2 in </w:t>
      </w:r>
      <w:r w:rsidR="00655A33">
        <w:rPr>
          <w:lang w:val="en-US"/>
        </w:rPr>
        <w:t>the same period</w:t>
      </w:r>
      <w:r w:rsidR="002C4F22" w:rsidRPr="00D13B3A">
        <w:rPr>
          <w:lang w:val="en-US"/>
        </w:rPr>
        <w:t xml:space="preserve">. </w:t>
      </w:r>
      <w:r w:rsidR="00630AD6" w:rsidRPr="00D13B3A">
        <w:rPr>
          <w:lang w:val="en-US"/>
        </w:rPr>
        <w:t xml:space="preserve">In addition, an ICT revolution was observed from the 1980s onwards, with significant increases in the number of phone subscribers and of internet users, from around </w:t>
      </w:r>
      <w:r w:rsidR="00501C82">
        <w:rPr>
          <w:lang w:val="en-US"/>
        </w:rPr>
        <w:t>90</w:t>
      </w:r>
      <w:r w:rsidR="00630AD6" w:rsidRPr="00D13B3A">
        <w:rPr>
          <w:lang w:val="en-US"/>
        </w:rPr>
        <w:t xml:space="preserve">0 </w:t>
      </w:r>
      <w:r w:rsidR="00630AD6" w:rsidRPr="00D13B3A">
        <w:rPr>
          <w:lang w:val="en-US"/>
        </w:rPr>
        <w:lastRenderedPageBreak/>
        <w:t xml:space="preserve">thousand and 100 thousand in 1995 to more than 5 billion and 1.4 billion in 2007, respectively (see the right-handed graph in </w:t>
      </w:r>
      <w:r w:rsidR="0012233E">
        <w:fldChar w:fldCharType="begin"/>
      </w:r>
      <w:r w:rsidR="0012233E">
        <w:instrText xml:space="preserve"> REF _Ref356887058 \h  \* MERGEFORMAT </w:instrText>
      </w:r>
      <w:r w:rsidR="0012233E">
        <w:fldChar w:fldCharType="separate"/>
      </w:r>
      <w:r w:rsidR="00DE6A26" w:rsidRPr="00DE6A26">
        <w:rPr>
          <w:lang w:val="en-US"/>
        </w:rPr>
        <w:t>Figure 1</w:t>
      </w:r>
      <w:r w:rsidR="0012233E">
        <w:fldChar w:fldCharType="end"/>
      </w:r>
      <w:r w:rsidR="00630AD6" w:rsidRPr="00D13B3A">
        <w:rPr>
          <w:lang w:val="en-US"/>
        </w:rPr>
        <w:t xml:space="preserve">). </w:t>
      </w:r>
      <w:r w:rsidR="002C4F22" w:rsidRPr="00D13B3A">
        <w:rPr>
          <w:lang w:val="en-US"/>
        </w:rPr>
        <w:t>Baldwin (2011) notes in this regard that (</w:t>
      </w:r>
      <w:proofErr w:type="spellStart"/>
      <w:r w:rsidR="002C4F22" w:rsidRPr="00D13B3A">
        <w:rPr>
          <w:lang w:val="en-US"/>
        </w:rPr>
        <w:t>i</w:t>
      </w:r>
      <w:proofErr w:type="spellEnd"/>
      <w:r w:rsidR="002C4F22" w:rsidRPr="00D13B3A">
        <w:rPr>
          <w:lang w:val="en-US"/>
        </w:rPr>
        <w:t xml:space="preserve">) world trade increased from representing 20% of global income in 1960 to nearly 50% in 2008, and that (ii) world trade grew 65% more than world output from 1990 to 2008. </w:t>
      </w:r>
      <w:r w:rsidR="00630AD6" w:rsidRPr="00D13B3A">
        <w:rPr>
          <w:lang w:val="en-US"/>
        </w:rPr>
        <w:t xml:space="preserve">Note that, although the increase in global trade flows from 1870 to 1912 matched a manifest decrease in transportation costs, the increase in global trade flows observed from </w:t>
      </w:r>
      <w:r w:rsidR="00781CE6" w:rsidRPr="00D13B3A">
        <w:rPr>
          <w:lang w:val="en-US"/>
        </w:rPr>
        <w:t>19</w:t>
      </w:r>
      <w:r w:rsidR="00781CE6">
        <w:rPr>
          <w:lang w:val="en-US"/>
        </w:rPr>
        <w:t>80</w:t>
      </w:r>
      <w:r w:rsidR="00781CE6" w:rsidRPr="00D13B3A">
        <w:rPr>
          <w:lang w:val="en-US"/>
        </w:rPr>
        <w:t xml:space="preserve"> to </w:t>
      </w:r>
      <w:r w:rsidR="00781CE6">
        <w:rPr>
          <w:lang w:val="en-US"/>
        </w:rPr>
        <w:t xml:space="preserve">1985 </w:t>
      </w:r>
      <w:r w:rsidR="00781CE6" w:rsidRPr="00D13B3A">
        <w:rPr>
          <w:lang w:val="en-US"/>
        </w:rPr>
        <w:t xml:space="preserve">occurred in a context of </w:t>
      </w:r>
      <w:r w:rsidR="00781CE6">
        <w:rPr>
          <w:lang w:val="en-US"/>
        </w:rPr>
        <w:t xml:space="preserve">increasing </w:t>
      </w:r>
      <w:r w:rsidR="00781CE6" w:rsidRPr="00D13B3A">
        <w:rPr>
          <w:lang w:val="en-US"/>
        </w:rPr>
        <w:t>trade costs.</w:t>
      </w:r>
      <w:r w:rsidR="00781CE6">
        <w:rPr>
          <w:lang w:val="en-US"/>
        </w:rPr>
        <w:t xml:space="preserve"> This is explained by the increase in the use of ICT</w:t>
      </w:r>
      <w:r w:rsidR="00630AD6" w:rsidRPr="00D13B3A">
        <w:rPr>
          <w:lang w:val="en-US"/>
        </w:rPr>
        <w:t>.</w:t>
      </w:r>
    </w:p>
    <w:p w:rsidR="00B340DD" w:rsidRPr="00D13B3A" w:rsidRDefault="00B340DD" w:rsidP="003D4757">
      <w:pPr>
        <w:pStyle w:val="Figure"/>
        <w:rPr>
          <w:b/>
        </w:rPr>
      </w:pPr>
      <w:bookmarkStart w:id="7" w:name="_Ref356887058"/>
      <w:bookmarkStart w:id="8" w:name="_Toc357173253"/>
      <w:bookmarkStart w:id="9" w:name="_Toc438749249"/>
      <w:bookmarkStart w:id="10" w:name="_Toc494032886"/>
      <w:r w:rsidRPr="00D13B3A">
        <w:t xml:space="preserve">Figure </w:t>
      </w:r>
      <w:r w:rsidR="0012233E">
        <w:rPr>
          <w:noProof/>
        </w:rPr>
        <w:fldChar w:fldCharType="begin"/>
      </w:r>
      <w:r w:rsidR="0012233E">
        <w:rPr>
          <w:noProof/>
        </w:rPr>
        <w:instrText xml:space="preserve"> SEQ Figure \* ARABIC </w:instrText>
      </w:r>
      <w:r w:rsidR="0012233E">
        <w:rPr>
          <w:noProof/>
        </w:rPr>
        <w:fldChar w:fldCharType="separate"/>
      </w:r>
      <w:r w:rsidR="00DE6A26">
        <w:rPr>
          <w:noProof/>
        </w:rPr>
        <w:t>1</w:t>
      </w:r>
      <w:r w:rsidR="0012233E">
        <w:rPr>
          <w:noProof/>
        </w:rPr>
        <w:fldChar w:fldCharType="end"/>
      </w:r>
      <w:bookmarkEnd w:id="7"/>
      <w:r w:rsidR="00E538B5" w:rsidRPr="00D13B3A">
        <w:rPr>
          <w:b/>
        </w:rPr>
        <w:t xml:space="preserve"> -</w:t>
      </w:r>
      <w:r w:rsidR="003D4757" w:rsidRPr="00D13B3A">
        <w:rPr>
          <w:b/>
        </w:rPr>
        <w:t xml:space="preserve"> </w:t>
      </w:r>
      <w:r w:rsidRPr="00D13B3A">
        <w:t xml:space="preserve">Long-term trade costs </w:t>
      </w:r>
      <w:r w:rsidRPr="00D13B3A">
        <w:rPr>
          <w:i/>
        </w:rPr>
        <w:t>versus</w:t>
      </w:r>
      <w:r w:rsidRPr="00D13B3A">
        <w:t xml:space="preserve"> </w:t>
      </w:r>
      <w:r w:rsidR="00E36FF8" w:rsidRPr="00D13B3A">
        <w:t>g</w:t>
      </w:r>
      <w:r w:rsidRPr="00D13B3A">
        <w:t xml:space="preserve">lobal trade flows (1870-2000, left) and </w:t>
      </w:r>
      <w:r w:rsidR="00714BB5" w:rsidRPr="00D13B3A">
        <w:t>ICT</w:t>
      </w:r>
      <w:r w:rsidRPr="00D13B3A">
        <w:t xml:space="preserve"> </w:t>
      </w:r>
      <w:r w:rsidR="00E36FF8" w:rsidRPr="00D13B3A">
        <w:t>i</w:t>
      </w:r>
      <w:r w:rsidRPr="00D13B3A">
        <w:t>ndicators (1975-2011, right)</w:t>
      </w:r>
      <w:bookmarkEnd w:id="8"/>
      <w:bookmarkEnd w:id="9"/>
      <w:bookmarkEnd w:id="10"/>
    </w:p>
    <w:p w:rsidR="00B340DD" w:rsidRPr="00D13B3A" w:rsidRDefault="00B340DD" w:rsidP="00B340DD">
      <w:pPr>
        <w:pStyle w:val="Corpodetexto"/>
        <w:rPr>
          <w:lang w:val="en-US"/>
        </w:rPr>
      </w:pPr>
      <w:r w:rsidRPr="00D13B3A">
        <w:rPr>
          <w:noProof/>
          <w:lang w:val="pt-PT"/>
        </w:rPr>
        <w:drawing>
          <wp:inline distT="0" distB="0" distL="0" distR="0">
            <wp:extent cx="5393055" cy="275018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3055" cy="2750185"/>
                    </a:xfrm>
                    <a:prstGeom prst="rect">
                      <a:avLst/>
                    </a:prstGeom>
                    <a:noFill/>
                    <a:ln>
                      <a:noFill/>
                    </a:ln>
                  </pic:spPr>
                </pic:pic>
              </a:graphicData>
            </a:graphic>
          </wp:inline>
        </w:drawing>
      </w:r>
    </w:p>
    <w:p w:rsidR="00B340DD" w:rsidRPr="00D13B3A" w:rsidRDefault="00B340DD" w:rsidP="00831588">
      <w:pPr>
        <w:pStyle w:val="Corpodetexto"/>
        <w:spacing w:before="120" w:after="240" w:line="240" w:lineRule="auto"/>
        <w:jc w:val="center"/>
        <w:rPr>
          <w:sz w:val="18"/>
          <w:szCs w:val="20"/>
          <w:lang w:val="en-US"/>
        </w:rPr>
      </w:pPr>
      <w:r w:rsidRPr="00D13B3A">
        <w:rPr>
          <w:sz w:val="18"/>
          <w:szCs w:val="20"/>
          <w:lang w:val="en-US"/>
        </w:rPr>
        <w:t>Source: Baldwin (2011, p. 11).</w:t>
      </w:r>
    </w:p>
    <w:p w:rsidR="00B356FE" w:rsidRPr="00D13B3A" w:rsidRDefault="00B356FE" w:rsidP="00247BEB">
      <w:pPr>
        <w:pStyle w:val="Corpodetexto"/>
        <w:spacing w:line="480" w:lineRule="auto"/>
        <w:ind w:firstLine="709"/>
        <w:rPr>
          <w:lang w:val="en-US"/>
        </w:rPr>
      </w:pPr>
    </w:p>
    <w:p w:rsidR="00A76B57" w:rsidRPr="00D13B3A" w:rsidRDefault="00663375" w:rsidP="002844DE">
      <w:pPr>
        <w:pStyle w:val="Corpodetexto"/>
        <w:spacing w:line="480" w:lineRule="auto"/>
        <w:ind w:firstLine="709"/>
        <w:rPr>
          <w:lang w:val="en-US"/>
        </w:rPr>
      </w:pPr>
      <w:r w:rsidRPr="00D13B3A">
        <w:rPr>
          <w:lang w:val="en-US"/>
        </w:rPr>
        <w:t>Th</w:t>
      </w:r>
      <w:r w:rsidR="00B52A8B">
        <w:rPr>
          <w:lang w:val="en-US"/>
        </w:rPr>
        <w:t>is</w:t>
      </w:r>
      <w:r w:rsidRPr="00D13B3A">
        <w:rPr>
          <w:lang w:val="en-US"/>
        </w:rPr>
        <w:t xml:space="preserve"> increase in the use of ICT</w:t>
      </w:r>
      <w:r w:rsidR="00B52A8B">
        <w:rPr>
          <w:lang w:val="en-US"/>
        </w:rPr>
        <w:t xml:space="preserve"> </w:t>
      </w:r>
      <w:r w:rsidR="00B52A8B" w:rsidRPr="00D13B3A">
        <w:rPr>
          <w:lang w:val="en-US"/>
        </w:rPr>
        <w:t>was described by Baldwin (2011) as a second revolutionary transformation</w:t>
      </w:r>
      <w:r w:rsidRPr="00D13B3A">
        <w:rPr>
          <w:lang w:val="en-US"/>
        </w:rPr>
        <w:t>, due to the</w:t>
      </w:r>
      <w:r w:rsidR="00AB4E20" w:rsidRPr="00D13B3A">
        <w:rPr>
          <w:lang w:val="en-US"/>
        </w:rPr>
        <w:t>ir</w:t>
      </w:r>
      <w:r w:rsidRPr="00D13B3A">
        <w:rPr>
          <w:lang w:val="en-US"/>
        </w:rPr>
        <w:t xml:space="preserve"> impact in </w:t>
      </w:r>
      <w:r w:rsidR="002844DE" w:rsidRPr="00D13B3A">
        <w:rPr>
          <w:lang w:val="en-US"/>
        </w:rPr>
        <w:t>the reduction of</w:t>
      </w:r>
      <w:r w:rsidRPr="00D13B3A">
        <w:rPr>
          <w:lang w:val="en-US"/>
        </w:rPr>
        <w:t xml:space="preserve"> </w:t>
      </w:r>
      <w:r w:rsidR="00AB4E20" w:rsidRPr="00D13B3A">
        <w:rPr>
          <w:lang w:val="en-US"/>
        </w:rPr>
        <w:t xml:space="preserve">both </w:t>
      </w:r>
      <w:r w:rsidRPr="00D13B3A">
        <w:rPr>
          <w:lang w:val="en-US"/>
        </w:rPr>
        <w:t>tran</w:t>
      </w:r>
      <w:r w:rsidR="00B52A8B">
        <w:rPr>
          <w:lang w:val="en-US"/>
        </w:rPr>
        <w:t>saction and communication costs</w:t>
      </w:r>
      <w:r w:rsidRPr="00D13B3A">
        <w:rPr>
          <w:lang w:val="en-US"/>
        </w:rPr>
        <w:t xml:space="preserve">. </w:t>
      </w:r>
      <w:r w:rsidR="00AB4E20" w:rsidRPr="00D13B3A">
        <w:rPr>
          <w:lang w:val="en-US"/>
        </w:rPr>
        <w:t>It allowed for the regional dispersion of production stages, the so-called internationalization of supply chains, international fragmentation of production or, yet, GVCs.</w:t>
      </w:r>
      <w:r w:rsidR="006231F5" w:rsidRPr="00D13B3A">
        <w:rPr>
          <w:lang w:val="en-US"/>
        </w:rPr>
        <w:t xml:space="preserve"> </w:t>
      </w:r>
      <w:r w:rsidR="002844DE" w:rsidRPr="00D13B3A">
        <w:rPr>
          <w:lang w:val="en-US"/>
        </w:rPr>
        <w:t>Until that moment</w:t>
      </w:r>
      <w:r w:rsidR="00B356FE" w:rsidRPr="00D13B3A">
        <w:rPr>
          <w:lang w:val="en-US"/>
        </w:rPr>
        <w:t xml:space="preserve">, </w:t>
      </w:r>
      <w:r w:rsidR="002844DE" w:rsidRPr="00D13B3A">
        <w:rPr>
          <w:lang w:val="en-US"/>
        </w:rPr>
        <w:t xml:space="preserve">industrialization was based on </w:t>
      </w:r>
      <w:r w:rsidR="00B356FE" w:rsidRPr="00D13B3A">
        <w:rPr>
          <w:lang w:val="en-US"/>
        </w:rPr>
        <w:t>domestic supply chain</w:t>
      </w:r>
      <w:r w:rsidR="002844DE" w:rsidRPr="00D13B3A">
        <w:rPr>
          <w:lang w:val="en-US"/>
        </w:rPr>
        <w:t>s</w:t>
      </w:r>
      <w:r w:rsidR="00B356FE" w:rsidRPr="00D13B3A">
        <w:rPr>
          <w:lang w:val="en-US"/>
        </w:rPr>
        <w:t xml:space="preserve">. </w:t>
      </w:r>
      <w:r w:rsidR="00AB4E20" w:rsidRPr="00D13B3A">
        <w:rPr>
          <w:lang w:val="en-US"/>
        </w:rPr>
        <w:lastRenderedPageBreak/>
        <w:t>After this second unbundling</w:t>
      </w:r>
      <w:r w:rsidR="00B356FE" w:rsidRPr="00D13B3A">
        <w:rPr>
          <w:lang w:val="en-US"/>
        </w:rPr>
        <w:t xml:space="preserve">, industrialisers </w:t>
      </w:r>
      <w:r w:rsidR="00C36B60" w:rsidRPr="00D13B3A">
        <w:rPr>
          <w:lang w:val="en-US"/>
        </w:rPr>
        <w:t xml:space="preserve">started </w:t>
      </w:r>
      <w:r w:rsidR="00D152CE" w:rsidRPr="00D13B3A">
        <w:rPr>
          <w:lang w:val="en-US"/>
        </w:rPr>
        <w:t>tak</w:t>
      </w:r>
      <w:r w:rsidR="00C36B60" w:rsidRPr="00D13B3A">
        <w:rPr>
          <w:lang w:val="en-US"/>
        </w:rPr>
        <w:t>ing</w:t>
      </w:r>
      <w:r w:rsidR="00D152CE" w:rsidRPr="00D13B3A">
        <w:rPr>
          <w:lang w:val="en-US"/>
        </w:rPr>
        <w:t xml:space="preserve"> advantage of </w:t>
      </w:r>
      <w:proofErr w:type="spellStart"/>
      <w:r w:rsidR="00AB4E20" w:rsidRPr="00D13B3A">
        <w:rPr>
          <w:lang w:val="en-US"/>
        </w:rPr>
        <w:t>off</w:t>
      </w:r>
      <w:r w:rsidR="00EE3FB9" w:rsidRPr="00D13B3A">
        <w:rPr>
          <w:lang w:val="en-US"/>
        </w:rPr>
        <w:t>shored</w:t>
      </w:r>
      <w:proofErr w:type="spellEnd"/>
      <w:r w:rsidR="00B356FE" w:rsidRPr="00D13B3A">
        <w:rPr>
          <w:lang w:val="en-US"/>
        </w:rPr>
        <w:t xml:space="preserve"> production </w:t>
      </w:r>
      <w:r w:rsidR="00D152CE" w:rsidRPr="00D13B3A">
        <w:rPr>
          <w:lang w:val="en-US"/>
        </w:rPr>
        <w:t xml:space="preserve">to incorporate </w:t>
      </w:r>
      <w:r w:rsidR="00B356FE" w:rsidRPr="00D13B3A">
        <w:rPr>
          <w:lang w:val="en-US"/>
        </w:rPr>
        <w:t xml:space="preserve">elements that </w:t>
      </w:r>
      <w:r w:rsidR="002844DE" w:rsidRPr="00D13B3A">
        <w:rPr>
          <w:lang w:val="en-US"/>
        </w:rPr>
        <w:t xml:space="preserve">would </w:t>
      </w:r>
      <w:r w:rsidR="00B356FE" w:rsidRPr="00D13B3A">
        <w:rPr>
          <w:lang w:val="en-US"/>
        </w:rPr>
        <w:t xml:space="preserve">take decades to develop domestically. </w:t>
      </w:r>
      <w:r w:rsidR="002844DE" w:rsidRPr="00D13B3A">
        <w:rPr>
          <w:lang w:val="en-US"/>
        </w:rPr>
        <w:t xml:space="preserve">The offshoring </w:t>
      </w:r>
      <w:r w:rsidR="007B74AD" w:rsidRPr="00D13B3A">
        <w:rPr>
          <w:lang w:val="en-US"/>
        </w:rPr>
        <w:t>typically start</w:t>
      </w:r>
      <w:r w:rsidR="002844DE" w:rsidRPr="00D13B3A">
        <w:rPr>
          <w:lang w:val="en-US"/>
        </w:rPr>
        <w:t>ed</w:t>
      </w:r>
      <w:r w:rsidR="007B74AD" w:rsidRPr="00D13B3A">
        <w:rPr>
          <w:lang w:val="en-US"/>
        </w:rPr>
        <w:t xml:space="preserve"> with a decision by a large high-tech multinational firm from a developed country to rely on the provision of </w:t>
      </w:r>
      <w:r w:rsidR="00B17DA2" w:rsidRPr="00D13B3A">
        <w:rPr>
          <w:lang w:val="en-US"/>
        </w:rPr>
        <w:t xml:space="preserve">intermediate </w:t>
      </w:r>
      <w:r w:rsidR="007B74AD" w:rsidRPr="00D13B3A">
        <w:rPr>
          <w:lang w:val="en-US"/>
        </w:rPr>
        <w:t>goods and services by several other small and medium firms located in low-wage and low-skilled developing countries. Th</w:t>
      </w:r>
      <w:r w:rsidR="00B17DA2" w:rsidRPr="00D13B3A">
        <w:rPr>
          <w:lang w:val="en-US"/>
        </w:rPr>
        <w:t>is</w:t>
      </w:r>
      <w:r w:rsidR="007B74AD" w:rsidRPr="00D13B3A">
        <w:rPr>
          <w:lang w:val="en-US"/>
        </w:rPr>
        <w:t xml:space="preserve"> high-tech multinational firm </w:t>
      </w:r>
      <w:r w:rsidR="002844DE" w:rsidRPr="00D13B3A">
        <w:rPr>
          <w:lang w:val="en-US"/>
        </w:rPr>
        <w:t xml:space="preserve">offshored codifiable tasks with low value-added, such as manufacturing and assembling, while </w:t>
      </w:r>
      <w:r w:rsidR="007B74AD" w:rsidRPr="00D13B3A">
        <w:rPr>
          <w:lang w:val="en-US"/>
        </w:rPr>
        <w:t xml:space="preserve">strategically </w:t>
      </w:r>
      <w:r w:rsidR="00B17DA2" w:rsidRPr="00D13B3A">
        <w:rPr>
          <w:lang w:val="en-US"/>
        </w:rPr>
        <w:t>keep</w:t>
      </w:r>
      <w:r w:rsidR="002844DE" w:rsidRPr="00D13B3A">
        <w:rPr>
          <w:lang w:val="en-US"/>
        </w:rPr>
        <w:t>ing</w:t>
      </w:r>
      <w:r w:rsidR="00B17DA2" w:rsidRPr="00D13B3A">
        <w:rPr>
          <w:lang w:val="en-US"/>
        </w:rPr>
        <w:t xml:space="preserve"> some stages of production</w:t>
      </w:r>
      <w:r w:rsidR="002844DE" w:rsidRPr="00D13B3A">
        <w:rPr>
          <w:lang w:val="en-US"/>
        </w:rPr>
        <w:t xml:space="preserve"> in-house</w:t>
      </w:r>
      <w:r w:rsidR="007B74AD" w:rsidRPr="00D13B3A">
        <w:rPr>
          <w:lang w:val="en-US"/>
        </w:rPr>
        <w:t>, usually non-codifiable tasks with high value</w:t>
      </w:r>
      <w:r w:rsidR="002844DE" w:rsidRPr="00D13B3A">
        <w:rPr>
          <w:lang w:val="en-US"/>
        </w:rPr>
        <w:t>-added</w:t>
      </w:r>
      <w:r w:rsidR="007B74AD" w:rsidRPr="00D13B3A">
        <w:rPr>
          <w:lang w:val="en-US"/>
        </w:rPr>
        <w:t>, such as standardization, innovation, Research and Development (R&amp;D), marketing, branding, and costumer services</w:t>
      </w:r>
      <w:r w:rsidR="007B74AD" w:rsidRPr="00D13B3A">
        <w:rPr>
          <w:rStyle w:val="Refdenotaderodap"/>
          <w:lang w:val="en-US"/>
        </w:rPr>
        <w:footnoteReference w:id="3"/>
      </w:r>
      <w:r w:rsidR="007B74AD" w:rsidRPr="00D13B3A">
        <w:rPr>
          <w:lang w:val="en-US"/>
        </w:rPr>
        <w:t xml:space="preserve">. </w:t>
      </w:r>
    </w:p>
    <w:p w:rsidR="007B74AD" w:rsidRPr="00D13B3A" w:rsidRDefault="007B74AD" w:rsidP="002844DE">
      <w:pPr>
        <w:pStyle w:val="Corpodetexto"/>
        <w:spacing w:line="480" w:lineRule="auto"/>
        <w:ind w:firstLine="709"/>
        <w:rPr>
          <w:lang w:val="en-US"/>
        </w:rPr>
      </w:pPr>
      <w:proofErr w:type="spellStart"/>
      <w:r w:rsidRPr="00D13B3A">
        <w:rPr>
          <w:lang w:val="en-US"/>
        </w:rPr>
        <w:t>Degain</w:t>
      </w:r>
      <w:proofErr w:type="spellEnd"/>
      <w:r w:rsidRPr="00D13B3A">
        <w:rPr>
          <w:lang w:val="en-US"/>
        </w:rPr>
        <w:t xml:space="preserve"> (2012) </w:t>
      </w:r>
      <w:r w:rsidR="00A76B57" w:rsidRPr="00D13B3A">
        <w:rPr>
          <w:lang w:val="en-US"/>
        </w:rPr>
        <w:t>show</w:t>
      </w:r>
      <w:r w:rsidR="00E654E5">
        <w:rPr>
          <w:lang w:val="en-US"/>
        </w:rPr>
        <w:t>ed</w:t>
      </w:r>
      <w:r w:rsidR="00A76B57" w:rsidRPr="00D13B3A">
        <w:rPr>
          <w:lang w:val="en-US"/>
        </w:rPr>
        <w:t xml:space="preserve"> </w:t>
      </w:r>
      <w:r w:rsidR="005E214C" w:rsidRPr="00D13B3A">
        <w:rPr>
          <w:lang w:val="en-US"/>
        </w:rPr>
        <w:t xml:space="preserve">that </w:t>
      </w:r>
      <w:r w:rsidRPr="00D13B3A">
        <w:rPr>
          <w:lang w:val="en-US"/>
        </w:rPr>
        <w:t>value</w:t>
      </w:r>
      <w:r w:rsidR="00A76B57" w:rsidRPr="00D13B3A">
        <w:rPr>
          <w:lang w:val="en-US"/>
        </w:rPr>
        <w:t>-added</w:t>
      </w:r>
      <w:r w:rsidRPr="00D13B3A">
        <w:rPr>
          <w:lang w:val="en-US"/>
        </w:rPr>
        <w:t xml:space="preserve"> i</w:t>
      </w:r>
      <w:r w:rsidR="005E214C" w:rsidRPr="00D13B3A">
        <w:rPr>
          <w:lang w:val="en-US"/>
        </w:rPr>
        <w:t>s higher on the earl</w:t>
      </w:r>
      <w:r w:rsidR="00A76B57" w:rsidRPr="00D13B3A">
        <w:rPr>
          <w:lang w:val="en-US"/>
        </w:rPr>
        <w:t>y</w:t>
      </w:r>
      <w:r w:rsidR="005E214C" w:rsidRPr="00D13B3A">
        <w:rPr>
          <w:lang w:val="en-US"/>
        </w:rPr>
        <w:t xml:space="preserve"> and on </w:t>
      </w:r>
      <w:r w:rsidR="00ED6FEF" w:rsidRPr="00D13B3A">
        <w:rPr>
          <w:lang w:val="en-US"/>
        </w:rPr>
        <w:t xml:space="preserve">the </w:t>
      </w:r>
      <w:r w:rsidR="005E214C" w:rsidRPr="00D13B3A">
        <w:rPr>
          <w:lang w:val="en-US"/>
        </w:rPr>
        <w:t>late steps of the manufacturing process</w:t>
      </w:r>
      <w:r w:rsidR="00A76B57" w:rsidRPr="00D13B3A">
        <w:rPr>
          <w:lang w:val="en-US"/>
        </w:rPr>
        <w:t xml:space="preserve"> (see </w:t>
      </w:r>
      <w:r w:rsidR="0012233E">
        <w:fldChar w:fldCharType="begin"/>
      </w:r>
      <w:r w:rsidR="0012233E">
        <w:instrText xml:space="preserve"> REF _Ref442191899 \h  \* MERGEFORMAT </w:instrText>
      </w:r>
      <w:r w:rsidR="0012233E">
        <w:fldChar w:fldCharType="separate"/>
      </w:r>
      <w:r w:rsidR="00DE6A26" w:rsidRPr="00DE6A26">
        <w:rPr>
          <w:lang w:val="en-US"/>
        </w:rPr>
        <w:t>Figure 2</w:t>
      </w:r>
      <w:r w:rsidR="0012233E">
        <w:fldChar w:fldCharType="end"/>
      </w:r>
      <w:r w:rsidR="00A76B57" w:rsidRPr="00D13B3A">
        <w:rPr>
          <w:lang w:val="en-US"/>
        </w:rPr>
        <w:t xml:space="preserve"> below), namely in </w:t>
      </w:r>
      <w:r w:rsidR="00ED6FEF" w:rsidRPr="00D13B3A">
        <w:rPr>
          <w:lang w:val="en-US"/>
        </w:rPr>
        <w:t xml:space="preserve">standardization, innovation, and R&amp;D </w:t>
      </w:r>
      <w:r w:rsidR="00A76B57" w:rsidRPr="00D13B3A">
        <w:rPr>
          <w:lang w:val="en-US"/>
        </w:rPr>
        <w:t xml:space="preserve">(early) </w:t>
      </w:r>
      <w:r w:rsidR="00ED6FEF" w:rsidRPr="00D13B3A">
        <w:rPr>
          <w:lang w:val="en-US"/>
        </w:rPr>
        <w:t xml:space="preserve">and </w:t>
      </w:r>
      <w:r w:rsidR="00A76B57" w:rsidRPr="00D13B3A">
        <w:rPr>
          <w:lang w:val="en-US"/>
        </w:rPr>
        <w:t xml:space="preserve">in </w:t>
      </w:r>
      <w:r w:rsidR="00ED6FEF" w:rsidRPr="00D13B3A">
        <w:rPr>
          <w:lang w:val="en-US"/>
        </w:rPr>
        <w:t xml:space="preserve">marketing, branding, and customer services </w:t>
      </w:r>
      <w:r w:rsidR="00A76B57" w:rsidRPr="00D13B3A">
        <w:rPr>
          <w:lang w:val="en-US"/>
        </w:rPr>
        <w:t>(late)</w:t>
      </w:r>
      <w:r w:rsidRPr="00D13B3A">
        <w:rPr>
          <w:lang w:val="en-US"/>
        </w:rPr>
        <w:t xml:space="preserve">. </w:t>
      </w:r>
    </w:p>
    <w:p w:rsidR="007B74AD" w:rsidRPr="00D13B3A" w:rsidRDefault="007B74AD" w:rsidP="007C749C">
      <w:pPr>
        <w:pStyle w:val="Figure"/>
        <w:rPr>
          <w:b/>
        </w:rPr>
      </w:pPr>
      <w:bookmarkStart w:id="11" w:name="_Ref442191899"/>
      <w:bookmarkStart w:id="12" w:name="_Toc438749251"/>
      <w:bookmarkStart w:id="13" w:name="_Toc494032887"/>
      <w:r w:rsidRPr="00D13B3A">
        <w:t xml:space="preserve">Figure </w:t>
      </w:r>
      <w:r w:rsidR="0012233E">
        <w:rPr>
          <w:noProof/>
        </w:rPr>
        <w:fldChar w:fldCharType="begin"/>
      </w:r>
      <w:r w:rsidR="0012233E">
        <w:rPr>
          <w:noProof/>
        </w:rPr>
        <w:instrText xml:space="preserve"> SEQ Figure \* ARABIC </w:instrText>
      </w:r>
      <w:r w:rsidR="0012233E">
        <w:rPr>
          <w:noProof/>
        </w:rPr>
        <w:fldChar w:fldCharType="separate"/>
      </w:r>
      <w:r w:rsidR="00DE6A26">
        <w:rPr>
          <w:noProof/>
        </w:rPr>
        <w:t>2</w:t>
      </w:r>
      <w:r w:rsidR="0012233E">
        <w:rPr>
          <w:noProof/>
        </w:rPr>
        <w:fldChar w:fldCharType="end"/>
      </w:r>
      <w:bookmarkEnd w:id="11"/>
      <w:r w:rsidR="007C749C" w:rsidRPr="00D13B3A">
        <w:rPr>
          <w:b/>
        </w:rPr>
        <w:t xml:space="preserve"> - </w:t>
      </w:r>
      <w:r w:rsidR="00B17DA2" w:rsidRPr="00D13B3A">
        <w:t>A</w:t>
      </w:r>
      <w:r w:rsidRPr="00D13B3A">
        <w:t xml:space="preserve">dded </w:t>
      </w:r>
      <w:r w:rsidR="00B17DA2" w:rsidRPr="00D13B3A">
        <w:t xml:space="preserve">value </w:t>
      </w:r>
      <w:r w:rsidRPr="00D13B3A">
        <w:t xml:space="preserve">of </w:t>
      </w:r>
      <w:r w:rsidR="00B17DA2" w:rsidRPr="00D13B3A">
        <w:t>t</w:t>
      </w:r>
      <w:r w:rsidRPr="00D13B3A">
        <w:t xml:space="preserve">ypical </w:t>
      </w:r>
      <w:r w:rsidR="00B17DA2" w:rsidRPr="00D13B3A">
        <w:t>s</w:t>
      </w:r>
      <w:r w:rsidRPr="00D13B3A">
        <w:t xml:space="preserve">tages of </w:t>
      </w:r>
      <w:r w:rsidR="00B17DA2" w:rsidRPr="00D13B3A">
        <w:t>p</w:t>
      </w:r>
      <w:r w:rsidRPr="00D13B3A">
        <w:t xml:space="preserve">roduction in </w:t>
      </w:r>
      <w:r w:rsidR="00B17DA2" w:rsidRPr="00D13B3A">
        <w:t>m</w:t>
      </w:r>
      <w:r w:rsidRPr="00D13B3A">
        <w:t>anufacturing</w:t>
      </w:r>
      <w:bookmarkEnd w:id="12"/>
      <w:bookmarkEnd w:id="13"/>
    </w:p>
    <w:p w:rsidR="007B74AD" w:rsidRPr="00D13B3A" w:rsidRDefault="007B74AD" w:rsidP="007B74AD">
      <w:pPr>
        <w:pStyle w:val="Corpodetexto"/>
        <w:jc w:val="center"/>
        <w:rPr>
          <w:lang w:val="en-US"/>
        </w:rPr>
      </w:pPr>
      <w:r w:rsidRPr="00D13B3A">
        <w:rPr>
          <w:noProof/>
          <w:lang w:val="pt-PT"/>
        </w:rPr>
        <w:drawing>
          <wp:inline distT="0" distB="0" distL="0" distR="0">
            <wp:extent cx="3693042" cy="2203037"/>
            <wp:effectExtent l="19050" t="19050" r="2222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701668" cy="2208183"/>
                    </a:xfrm>
                    <a:prstGeom prst="rect">
                      <a:avLst/>
                    </a:prstGeom>
                    <a:noFill/>
                    <a:ln w="9525">
                      <a:solidFill>
                        <a:schemeClr val="tx1"/>
                      </a:solidFill>
                      <a:miter lim="800000"/>
                      <a:headEnd/>
                      <a:tailEnd/>
                    </a:ln>
                  </pic:spPr>
                </pic:pic>
              </a:graphicData>
            </a:graphic>
          </wp:inline>
        </w:drawing>
      </w:r>
    </w:p>
    <w:p w:rsidR="007B74AD" w:rsidRPr="00D13B3A" w:rsidRDefault="007B74AD" w:rsidP="00831588">
      <w:pPr>
        <w:pStyle w:val="Corpodetexto"/>
        <w:spacing w:before="120" w:after="240" w:line="240" w:lineRule="auto"/>
        <w:jc w:val="center"/>
        <w:rPr>
          <w:sz w:val="18"/>
          <w:szCs w:val="20"/>
          <w:lang w:val="en-US"/>
        </w:rPr>
      </w:pPr>
      <w:r w:rsidRPr="00D13B3A">
        <w:rPr>
          <w:sz w:val="18"/>
          <w:szCs w:val="20"/>
          <w:lang w:val="en-US"/>
        </w:rPr>
        <w:t xml:space="preserve">Source: </w:t>
      </w:r>
      <w:proofErr w:type="spellStart"/>
      <w:r w:rsidRPr="00D13B3A">
        <w:rPr>
          <w:sz w:val="18"/>
          <w:szCs w:val="20"/>
          <w:lang w:val="en-US"/>
        </w:rPr>
        <w:t>Degain</w:t>
      </w:r>
      <w:proofErr w:type="spellEnd"/>
      <w:r w:rsidRPr="00D13B3A">
        <w:rPr>
          <w:sz w:val="18"/>
          <w:szCs w:val="20"/>
          <w:lang w:val="en-US"/>
        </w:rPr>
        <w:t xml:space="preserve"> (2012).</w:t>
      </w:r>
    </w:p>
    <w:p w:rsidR="00471477" w:rsidRPr="00D13B3A" w:rsidRDefault="00471477" w:rsidP="00247BEB">
      <w:pPr>
        <w:pStyle w:val="Corpodetexto"/>
        <w:spacing w:line="480" w:lineRule="auto"/>
        <w:ind w:firstLine="708"/>
        <w:rPr>
          <w:lang w:val="en-US"/>
        </w:rPr>
      </w:pPr>
    </w:p>
    <w:p w:rsidR="00A86954" w:rsidRPr="00D13B3A" w:rsidRDefault="00E159A3" w:rsidP="006231F5">
      <w:pPr>
        <w:pStyle w:val="Corpodetexto"/>
        <w:spacing w:line="480" w:lineRule="auto"/>
        <w:ind w:firstLine="708"/>
        <w:rPr>
          <w:lang w:val="en-US"/>
        </w:rPr>
      </w:pPr>
      <w:r w:rsidRPr="00D13B3A">
        <w:rPr>
          <w:lang w:val="en-US"/>
        </w:rPr>
        <w:t xml:space="preserve">Several authors </w:t>
      </w:r>
      <w:r w:rsidR="006171F3" w:rsidRPr="00D13B3A">
        <w:rPr>
          <w:lang w:val="en-US"/>
        </w:rPr>
        <w:t>show</w:t>
      </w:r>
      <w:r w:rsidR="00EA252C" w:rsidRPr="00D13B3A">
        <w:rPr>
          <w:lang w:val="en-US"/>
        </w:rPr>
        <w:t>ed</w:t>
      </w:r>
      <w:r w:rsidR="006171F3" w:rsidRPr="00D13B3A">
        <w:rPr>
          <w:lang w:val="en-US"/>
        </w:rPr>
        <w:t xml:space="preserve"> </w:t>
      </w:r>
      <w:r w:rsidRPr="00D13B3A">
        <w:rPr>
          <w:lang w:val="en-US"/>
        </w:rPr>
        <w:t xml:space="preserve">that the participation in fragmented value chains is an efficient way for a firm to improve its production process and have access to new technology </w:t>
      </w:r>
      <w:r w:rsidR="00D34558" w:rsidRPr="00D13B3A">
        <w:rPr>
          <w:lang w:val="en-US"/>
        </w:rPr>
        <w:t>(</w:t>
      </w:r>
      <w:r w:rsidR="0087621C" w:rsidRPr="00D13B3A">
        <w:rPr>
          <w:lang w:val="en-US"/>
        </w:rPr>
        <w:t xml:space="preserve">see </w:t>
      </w:r>
      <w:r w:rsidR="00D34558" w:rsidRPr="00D13B3A">
        <w:rPr>
          <w:lang w:val="en-US"/>
        </w:rPr>
        <w:t xml:space="preserve">Coe &amp; </w:t>
      </w:r>
      <w:proofErr w:type="spellStart"/>
      <w:r w:rsidR="00D34558" w:rsidRPr="00D13B3A">
        <w:rPr>
          <w:lang w:val="en-US"/>
        </w:rPr>
        <w:t>Helpman</w:t>
      </w:r>
      <w:proofErr w:type="spellEnd"/>
      <w:r w:rsidR="00D34558" w:rsidRPr="00D13B3A">
        <w:rPr>
          <w:lang w:val="en-US"/>
        </w:rPr>
        <w:t>, 1995;</w:t>
      </w:r>
      <w:r w:rsidRPr="00D13B3A">
        <w:rPr>
          <w:lang w:val="en-US"/>
        </w:rPr>
        <w:t xml:space="preserve"> </w:t>
      </w:r>
      <w:r w:rsidR="00D34558" w:rsidRPr="00D13B3A">
        <w:rPr>
          <w:lang w:val="en-US"/>
        </w:rPr>
        <w:t>Keller, 2002;</w:t>
      </w:r>
      <w:r w:rsidRPr="00D13B3A">
        <w:rPr>
          <w:lang w:val="en-US"/>
        </w:rPr>
        <w:t xml:space="preserve"> </w:t>
      </w:r>
      <w:r w:rsidR="003C10F3" w:rsidRPr="00D13B3A">
        <w:rPr>
          <w:lang w:val="en-US"/>
        </w:rPr>
        <w:t xml:space="preserve">and </w:t>
      </w:r>
      <w:r w:rsidR="00D34558" w:rsidRPr="00D13B3A">
        <w:rPr>
          <w:lang w:val="en-US"/>
        </w:rPr>
        <w:t xml:space="preserve">Lemoine &amp; </w:t>
      </w:r>
      <w:proofErr w:type="spellStart"/>
      <w:r w:rsidRPr="00D13B3A">
        <w:rPr>
          <w:lang w:val="en-US"/>
        </w:rPr>
        <w:t>Ü</w:t>
      </w:r>
      <w:r w:rsidR="00D34558" w:rsidRPr="00D13B3A">
        <w:rPr>
          <w:lang w:val="en-US"/>
        </w:rPr>
        <w:t>nal-Kesenci</w:t>
      </w:r>
      <w:proofErr w:type="spellEnd"/>
      <w:r w:rsidR="00D34558" w:rsidRPr="00D13B3A">
        <w:rPr>
          <w:lang w:val="en-US"/>
        </w:rPr>
        <w:t>, 2004</w:t>
      </w:r>
      <w:r w:rsidR="003C10F3" w:rsidRPr="00D13B3A">
        <w:rPr>
          <w:lang w:val="en-US"/>
        </w:rPr>
        <w:t>,</w:t>
      </w:r>
      <w:r w:rsidR="0087621C" w:rsidRPr="00D13B3A">
        <w:rPr>
          <w:lang w:val="en-US"/>
        </w:rPr>
        <w:t xml:space="preserve"> as examples</w:t>
      </w:r>
      <w:r w:rsidR="003C10F3" w:rsidRPr="00D13B3A">
        <w:rPr>
          <w:lang w:val="en-US"/>
        </w:rPr>
        <w:t>)</w:t>
      </w:r>
      <w:r w:rsidRPr="00D13B3A">
        <w:rPr>
          <w:lang w:val="en-US"/>
        </w:rPr>
        <w:t xml:space="preserve">, while being absent from those chains decreases its growth </w:t>
      </w:r>
      <w:r w:rsidR="00D34558" w:rsidRPr="00D13B3A">
        <w:rPr>
          <w:lang w:val="en-US"/>
        </w:rPr>
        <w:t>(</w:t>
      </w:r>
      <w:r w:rsidR="0087621C" w:rsidRPr="00D13B3A">
        <w:rPr>
          <w:lang w:val="en-US"/>
        </w:rPr>
        <w:t xml:space="preserve">see </w:t>
      </w:r>
      <w:r w:rsidRPr="00D13B3A">
        <w:rPr>
          <w:lang w:val="en-US"/>
        </w:rPr>
        <w:t>Y</w:t>
      </w:r>
      <w:r w:rsidR="00D34558" w:rsidRPr="00D13B3A">
        <w:rPr>
          <w:lang w:val="en-US"/>
        </w:rPr>
        <w:t xml:space="preserve">i, </w:t>
      </w:r>
      <w:r w:rsidRPr="00D13B3A">
        <w:rPr>
          <w:lang w:val="en-US"/>
        </w:rPr>
        <w:t>2003</w:t>
      </w:r>
      <w:r w:rsidR="00D34558" w:rsidRPr="00D13B3A">
        <w:rPr>
          <w:lang w:val="en-US"/>
        </w:rPr>
        <w:t>;</w:t>
      </w:r>
      <w:r w:rsidRPr="00D13B3A">
        <w:rPr>
          <w:lang w:val="en-US"/>
        </w:rPr>
        <w:t xml:space="preserve"> </w:t>
      </w:r>
      <w:r w:rsidR="00A86954" w:rsidRPr="00D13B3A">
        <w:rPr>
          <w:lang w:val="en-US"/>
        </w:rPr>
        <w:t xml:space="preserve">and </w:t>
      </w:r>
      <w:proofErr w:type="spellStart"/>
      <w:r w:rsidR="00D34558" w:rsidRPr="00D13B3A">
        <w:rPr>
          <w:lang w:val="en-US"/>
        </w:rPr>
        <w:t>Baldone</w:t>
      </w:r>
      <w:proofErr w:type="spellEnd"/>
      <w:r w:rsidR="00D34558" w:rsidRPr="00D13B3A">
        <w:rPr>
          <w:lang w:val="en-US"/>
        </w:rPr>
        <w:t xml:space="preserve"> et al, 2007)</w:t>
      </w:r>
      <w:r w:rsidRPr="00D13B3A">
        <w:rPr>
          <w:lang w:val="en-US"/>
        </w:rPr>
        <w:t>.</w:t>
      </w:r>
      <w:r w:rsidR="004246F8" w:rsidRPr="00D13B3A">
        <w:rPr>
          <w:lang w:val="en-US"/>
        </w:rPr>
        <w:t xml:space="preserve"> For those </w:t>
      </w:r>
      <w:r w:rsidR="006171F3" w:rsidRPr="00D13B3A">
        <w:rPr>
          <w:lang w:val="en-US"/>
        </w:rPr>
        <w:t xml:space="preserve">sectors where </w:t>
      </w:r>
      <w:r w:rsidR="004246F8" w:rsidRPr="00D13B3A">
        <w:rPr>
          <w:lang w:val="en-US"/>
        </w:rPr>
        <w:t>production is already fragmented, the future of a producer outside the value chain is not promising, unless that firm controls a very exclusive and advanced technology.</w:t>
      </w:r>
      <w:r w:rsidR="00595619" w:rsidRPr="00D13B3A">
        <w:rPr>
          <w:lang w:val="en-US"/>
        </w:rPr>
        <w:t xml:space="preserve"> </w:t>
      </w:r>
      <w:r w:rsidR="00A86954" w:rsidRPr="00D13B3A">
        <w:rPr>
          <w:lang w:val="en-US"/>
        </w:rPr>
        <w:t>From a macro perspective, the importance of GVC</w:t>
      </w:r>
      <w:r w:rsidR="00B52A8B">
        <w:rPr>
          <w:lang w:val="en-US"/>
        </w:rPr>
        <w:t>s</w:t>
      </w:r>
      <w:r w:rsidR="00A86954" w:rsidRPr="00D13B3A">
        <w:rPr>
          <w:lang w:val="en-US"/>
        </w:rPr>
        <w:t xml:space="preserve"> for the world’s economic growth was highlighted by the World Economic Forum (2013), which concluded that concerted action to reduce supply chain trade barriers could increase global Gross Domestic Product (GDP) up to six times more (by 4.7%) than removing all remaining import tariffs (0.7%).</w:t>
      </w:r>
    </w:p>
    <w:p w:rsidR="00A86954" w:rsidRPr="00D13B3A" w:rsidRDefault="00A86954" w:rsidP="00247BEB">
      <w:pPr>
        <w:pStyle w:val="Corpodetexto"/>
        <w:spacing w:line="480" w:lineRule="auto"/>
        <w:ind w:firstLine="709"/>
        <w:rPr>
          <w:lang w:val="en-US"/>
        </w:rPr>
      </w:pPr>
      <w:r w:rsidRPr="00D13B3A">
        <w:rPr>
          <w:color w:val="000000"/>
          <w:shd w:val="clear" w:color="auto" w:fill="FFFFFF"/>
          <w:lang w:val="en-US"/>
        </w:rPr>
        <w:t xml:space="preserve">Finally, </w:t>
      </w:r>
      <w:r w:rsidR="0087621C" w:rsidRPr="00D13B3A">
        <w:rPr>
          <w:color w:val="000000"/>
          <w:shd w:val="clear" w:color="auto" w:fill="FFFFFF"/>
          <w:lang w:val="en-US"/>
        </w:rPr>
        <w:t xml:space="preserve">Baldwin </w:t>
      </w:r>
      <w:r w:rsidR="00595619" w:rsidRPr="00D13B3A">
        <w:rPr>
          <w:color w:val="000000"/>
          <w:shd w:val="clear" w:color="auto" w:fill="FFFFFF"/>
          <w:lang w:val="en-US"/>
        </w:rPr>
        <w:t xml:space="preserve">(2011) </w:t>
      </w:r>
      <w:r w:rsidR="00E431CB" w:rsidRPr="00D13B3A">
        <w:rPr>
          <w:lang w:val="en-US"/>
        </w:rPr>
        <w:t>forecast</w:t>
      </w:r>
      <w:r w:rsidR="00EA252C" w:rsidRPr="00D13B3A">
        <w:rPr>
          <w:lang w:val="en-US"/>
        </w:rPr>
        <w:t>ed</w:t>
      </w:r>
      <w:r w:rsidR="00E431CB" w:rsidRPr="00D13B3A">
        <w:rPr>
          <w:lang w:val="en-US"/>
        </w:rPr>
        <w:t xml:space="preserve"> a third unb</w:t>
      </w:r>
      <w:r w:rsidR="00EE3FB9" w:rsidRPr="00D13B3A">
        <w:rPr>
          <w:lang w:val="en-US"/>
        </w:rPr>
        <w:t>u</w:t>
      </w:r>
      <w:r w:rsidR="00E431CB" w:rsidRPr="00D13B3A">
        <w:rPr>
          <w:lang w:val="en-US"/>
        </w:rPr>
        <w:t>nd</w:t>
      </w:r>
      <w:r w:rsidR="009146EE" w:rsidRPr="00D13B3A">
        <w:rPr>
          <w:lang w:val="en-US"/>
        </w:rPr>
        <w:t xml:space="preserve">ling </w:t>
      </w:r>
      <w:r w:rsidR="00EA252C" w:rsidRPr="00D13B3A">
        <w:rPr>
          <w:lang w:val="en-US"/>
        </w:rPr>
        <w:t xml:space="preserve">that will occur </w:t>
      </w:r>
      <w:r w:rsidR="009146EE" w:rsidRPr="00D13B3A">
        <w:rPr>
          <w:lang w:val="en-US"/>
        </w:rPr>
        <w:t xml:space="preserve">at some point in </w:t>
      </w:r>
      <w:r w:rsidR="00595619" w:rsidRPr="00D13B3A">
        <w:rPr>
          <w:lang w:val="en-US"/>
        </w:rPr>
        <w:t>the future</w:t>
      </w:r>
      <w:r w:rsidR="007368AF" w:rsidRPr="00D13B3A">
        <w:rPr>
          <w:lang w:val="en-US"/>
        </w:rPr>
        <w:t>, when the face-to-face constrain cease</w:t>
      </w:r>
      <w:r w:rsidR="00E431CB" w:rsidRPr="00D13B3A">
        <w:rPr>
          <w:lang w:val="en-US"/>
        </w:rPr>
        <w:t>s</w:t>
      </w:r>
      <w:r w:rsidR="007368AF" w:rsidRPr="00D13B3A">
        <w:rPr>
          <w:lang w:val="en-US"/>
        </w:rPr>
        <w:t xml:space="preserve"> to exist. In such a scenario, production stages </w:t>
      </w:r>
      <w:r w:rsidRPr="00D13B3A">
        <w:rPr>
          <w:lang w:val="en-US"/>
        </w:rPr>
        <w:t xml:space="preserve">are projected to </w:t>
      </w:r>
      <w:r w:rsidR="007368AF" w:rsidRPr="00D13B3A">
        <w:rPr>
          <w:lang w:val="en-US"/>
        </w:rPr>
        <w:t>disperse globally and other regions</w:t>
      </w:r>
      <w:r w:rsidR="00EA252C" w:rsidRPr="00D13B3A">
        <w:rPr>
          <w:lang w:val="en-US"/>
        </w:rPr>
        <w:t>,</w:t>
      </w:r>
      <w:r w:rsidR="007368AF" w:rsidRPr="00D13B3A">
        <w:rPr>
          <w:lang w:val="en-US"/>
        </w:rPr>
        <w:t xml:space="preserve"> such as Africa and South America</w:t>
      </w:r>
      <w:r w:rsidR="00EA252C" w:rsidRPr="00D13B3A">
        <w:rPr>
          <w:lang w:val="en-US"/>
        </w:rPr>
        <w:t>,</w:t>
      </w:r>
      <w:r w:rsidR="007368AF" w:rsidRPr="00D13B3A">
        <w:rPr>
          <w:lang w:val="en-US"/>
        </w:rPr>
        <w:t xml:space="preserve"> </w:t>
      </w:r>
      <w:r w:rsidRPr="00D13B3A">
        <w:rPr>
          <w:lang w:val="en-US"/>
        </w:rPr>
        <w:t xml:space="preserve">would </w:t>
      </w:r>
      <w:r w:rsidR="007368AF" w:rsidRPr="00D13B3A">
        <w:rPr>
          <w:lang w:val="en-US"/>
        </w:rPr>
        <w:t>join supply chain</w:t>
      </w:r>
      <w:r w:rsidR="00EA252C" w:rsidRPr="00D13B3A">
        <w:rPr>
          <w:lang w:val="en-US"/>
        </w:rPr>
        <w:t>s</w:t>
      </w:r>
      <w:r w:rsidR="00595619" w:rsidRPr="00D13B3A">
        <w:rPr>
          <w:lang w:val="en-US"/>
        </w:rPr>
        <w:t>.</w:t>
      </w:r>
      <w:r w:rsidRPr="00D13B3A">
        <w:rPr>
          <w:lang w:val="en-US"/>
        </w:rPr>
        <w:t xml:space="preserve"> </w:t>
      </w:r>
    </w:p>
    <w:p w:rsidR="00457238" w:rsidRPr="00D13B3A" w:rsidRDefault="009F2CF4" w:rsidP="00247BEB">
      <w:pPr>
        <w:pStyle w:val="Corpodetexto"/>
        <w:spacing w:line="480" w:lineRule="auto"/>
        <w:ind w:firstLine="709"/>
        <w:rPr>
          <w:lang w:val="en-US"/>
        </w:rPr>
      </w:pPr>
      <w:r w:rsidRPr="00D13B3A">
        <w:rPr>
          <w:lang w:val="en-US"/>
        </w:rPr>
        <w:t xml:space="preserve">In </w:t>
      </w:r>
      <w:r w:rsidR="00F855EE" w:rsidRPr="00D13B3A">
        <w:rPr>
          <w:lang w:val="en-US"/>
        </w:rPr>
        <w:t>fact</w:t>
      </w:r>
      <w:r w:rsidR="009146EE" w:rsidRPr="00D13B3A">
        <w:rPr>
          <w:lang w:val="en-US"/>
        </w:rPr>
        <w:t xml:space="preserve">, </w:t>
      </w:r>
      <w:r w:rsidR="00F855EE" w:rsidRPr="00D13B3A">
        <w:rPr>
          <w:lang w:val="en-US"/>
        </w:rPr>
        <w:t xml:space="preserve">one could </w:t>
      </w:r>
      <w:r w:rsidR="00781CE6">
        <w:rPr>
          <w:lang w:val="en-US"/>
        </w:rPr>
        <w:t xml:space="preserve">conclude </w:t>
      </w:r>
      <w:r w:rsidR="00F855EE" w:rsidRPr="00D13B3A">
        <w:rPr>
          <w:lang w:val="en-US"/>
        </w:rPr>
        <w:t xml:space="preserve">that </w:t>
      </w:r>
      <w:r w:rsidR="00151141" w:rsidRPr="00D13B3A">
        <w:rPr>
          <w:lang w:val="en-US"/>
        </w:rPr>
        <w:t xml:space="preserve">GVC </w:t>
      </w:r>
      <w:r w:rsidR="007368AF" w:rsidRPr="00D13B3A">
        <w:rPr>
          <w:lang w:val="en-US"/>
        </w:rPr>
        <w:t>is a misleading designation</w:t>
      </w:r>
      <w:r w:rsidR="00AA6079" w:rsidRPr="00D13B3A">
        <w:rPr>
          <w:lang w:val="en-US"/>
        </w:rPr>
        <w:t xml:space="preserve">. First, </w:t>
      </w:r>
      <w:r w:rsidR="00F855EE" w:rsidRPr="00D13B3A">
        <w:rPr>
          <w:lang w:val="en-US"/>
        </w:rPr>
        <w:t xml:space="preserve">as noted by Baldwin (2011), </w:t>
      </w:r>
      <w:r w:rsidR="007368AF" w:rsidRPr="00D13B3A">
        <w:rPr>
          <w:lang w:val="en-US"/>
        </w:rPr>
        <w:t xml:space="preserve">they are </w:t>
      </w:r>
      <w:r w:rsidR="009146EE" w:rsidRPr="00D13B3A">
        <w:rPr>
          <w:lang w:val="en-US"/>
        </w:rPr>
        <w:t>not global</w:t>
      </w:r>
      <w:r w:rsidR="007368AF" w:rsidRPr="00D13B3A">
        <w:rPr>
          <w:lang w:val="en-US"/>
        </w:rPr>
        <w:t xml:space="preserve">, but located in </w:t>
      </w:r>
      <w:r w:rsidRPr="00D13B3A">
        <w:rPr>
          <w:lang w:val="en-US"/>
        </w:rPr>
        <w:t xml:space="preserve">one or in several of the following </w:t>
      </w:r>
      <w:r w:rsidR="007368AF" w:rsidRPr="00D13B3A">
        <w:rPr>
          <w:lang w:val="en-US"/>
        </w:rPr>
        <w:t>three regions: Central Europe</w:t>
      </w:r>
      <w:r w:rsidR="00622DBD" w:rsidRPr="00D13B3A">
        <w:rPr>
          <w:lang w:val="en-US"/>
        </w:rPr>
        <w:t>,</w:t>
      </w:r>
      <w:r w:rsidR="007368AF" w:rsidRPr="00D13B3A">
        <w:rPr>
          <w:lang w:val="en-US"/>
        </w:rPr>
        <w:t xml:space="preserve"> North America and, mainly, East </w:t>
      </w:r>
      <w:r w:rsidR="00F855EE" w:rsidRPr="00D13B3A">
        <w:rPr>
          <w:lang w:val="en-US"/>
        </w:rPr>
        <w:t xml:space="preserve">and Southeast </w:t>
      </w:r>
      <w:r w:rsidR="007368AF" w:rsidRPr="00D13B3A">
        <w:rPr>
          <w:lang w:val="en-US"/>
        </w:rPr>
        <w:t>Asia</w:t>
      </w:r>
      <w:r w:rsidRPr="00D13B3A">
        <w:rPr>
          <w:lang w:val="en-US"/>
        </w:rPr>
        <w:t xml:space="preserve">, with no </w:t>
      </w:r>
      <w:r w:rsidR="00EA252C" w:rsidRPr="00D13B3A">
        <w:rPr>
          <w:lang w:val="en-US"/>
        </w:rPr>
        <w:t>substantial</w:t>
      </w:r>
      <w:r w:rsidRPr="00D13B3A">
        <w:rPr>
          <w:lang w:val="en-US"/>
        </w:rPr>
        <w:t xml:space="preserve"> connection</w:t>
      </w:r>
      <w:r w:rsidR="00A86954" w:rsidRPr="00D13B3A">
        <w:rPr>
          <w:lang w:val="en-US"/>
        </w:rPr>
        <w:t>s</w:t>
      </w:r>
      <w:r w:rsidRPr="00D13B3A">
        <w:rPr>
          <w:lang w:val="en-US"/>
        </w:rPr>
        <w:t xml:space="preserve"> between them</w:t>
      </w:r>
      <w:r w:rsidR="009146EE" w:rsidRPr="00D13B3A">
        <w:rPr>
          <w:lang w:val="en-US"/>
        </w:rPr>
        <w:t>.</w:t>
      </w:r>
      <w:r w:rsidR="00B554D5" w:rsidRPr="00D13B3A">
        <w:rPr>
          <w:lang w:val="en-US"/>
        </w:rPr>
        <w:t xml:space="preserve"> </w:t>
      </w:r>
      <w:r w:rsidRPr="00D13B3A">
        <w:rPr>
          <w:lang w:val="en-US"/>
        </w:rPr>
        <w:t>S</w:t>
      </w:r>
      <w:r w:rsidR="00AA6079" w:rsidRPr="00D13B3A">
        <w:rPr>
          <w:lang w:val="en-US"/>
        </w:rPr>
        <w:t xml:space="preserve">econd, </w:t>
      </w:r>
      <w:r w:rsidR="00F855EE" w:rsidRPr="00D13B3A">
        <w:rPr>
          <w:lang w:val="en-US"/>
        </w:rPr>
        <w:t xml:space="preserve">as noted by </w:t>
      </w:r>
      <w:r w:rsidR="0013349E" w:rsidRPr="00D13B3A">
        <w:rPr>
          <w:lang w:val="en-US"/>
        </w:rPr>
        <w:t>OECD et al (2014)</w:t>
      </w:r>
      <w:r w:rsidR="00AA6079" w:rsidRPr="00D13B3A">
        <w:rPr>
          <w:lang w:val="en-US"/>
        </w:rPr>
        <w:t xml:space="preserve">, they are not chains, but ladders, since </w:t>
      </w:r>
      <w:r w:rsidR="000814FB" w:rsidRPr="00D13B3A">
        <w:rPr>
          <w:lang w:val="en-US"/>
        </w:rPr>
        <w:t>«</w:t>
      </w:r>
      <w:r w:rsidR="00811EC4" w:rsidRPr="00D13B3A">
        <w:rPr>
          <w:lang w:val="en-US"/>
        </w:rPr>
        <w:t xml:space="preserve">the disaggregation of production into separate stages allows their firms not only to find their place on the ladder, but to move up the rungs as </w:t>
      </w:r>
      <w:r w:rsidR="00811EC4" w:rsidRPr="00D13B3A">
        <w:rPr>
          <w:lang w:val="en-US"/>
        </w:rPr>
        <w:lastRenderedPageBreak/>
        <w:t>their capabilities improve</w:t>
      </w:r>
      <w:r w:rsidR="000814FB" w:rsidRPr="00D13B3A">
        <w:rPr>
          <w:lang w:val="en-US"/>
        </w:rPr>
        <w:t>»</w:t>
      </w:r>
      <w:r w:rsidR="00811EC4" w:rsidRPr="00D13B3A">
        <w:rPr>
          <w:rStyle w:val="Refdenotaderodap"/>
          <w:lang w:val="en-US"/>
        </w:rPr>
        <w:footnoteReference w:id="4"/>
      </w:r>
      <w:r w:rsidR="0013349E" w:rsidRPr="00D13B3A">
        <w:rPr>
          <w:lang w:val="en-US"/>
        </w:rPr>
        <w:t xml:space="preserve">. </w:t>
      </w:r>
      <w:r w:rsidR="00F855EE" w:rsidRPr="00D13B3A">
        <w:rPr>
          <w:lang w:val="en-US"/>
        </w:rPr>
        <w:t xml:space="preserve">Therefore, a reference to </w:t>
      </w:r>
      <w:r w:rsidR="00751CBF">
        <w:rPr>
          <w:lang w:val="en-US"/>
        </w:rPr>
        <w:t>“</w:t>
      </w:r>
      <w:r w:rsidR="00F855EE" w:rsidRPr="00D13B3A">
        <w:rPr>
          <w:lang w:val="en-US"/>
        </w:rPr>
        <w:t>regional value ladders</w:t>
      </w:r>
      <w:r w:rsidR="00751CBF">
        <w:rPr>
          <w:lang w:val="en-US"/>
        </w:rPr>
        <w:t>”</w:t>
      </w:r>
      <w:r w:rsidR="00F855EE" w:rsidRPr="00D13B3A">
        <w:rPr>
          <w:lang w:val="en-US"/>
        </w:rPr>
        <w:t xml:space="preserve"> could be more </w:t>
      </w:r>
      <w:r w:rsidR="00985086" w:rsidRPr="00D13B3A">
        <w:rPr>
          <w:lang w:val="en-US"/>
        </w:rPr>
        <w:t>adequa</w:t>
      </w:r>
      <w:r w:rsidR="00151141" w:rsidRPr="00D13B3A">
        <w:rPr>
          <w:lang w:val="en-US"/>
        </w:rPr>
        <w:t xml:space="preserve">te </w:t>
      </w:r>
      <w:r w:rsidR="00F855EE" w:rsidRPr="00D13B3A">
        <w:rPr>
          <w:lang w:val="en-US"/>
        </w:rPr>
        <w:t xml:space="preserve">than </w:t>
      </w:r>
      <w:r w:rsidR="00151141" w:rsidRPr="00D13B3A">
        <w:rPr>
          <w:lang w:val="en-US"/>
        </w:rPr>
        <w:t>GVC</w:t>
      </w:r>
      <w:r w:rsidR="00F855EE" w:rsidRPr="00D13B3A">
        <w:rPr>
          <w:lang w:val="en-US"/>
        </w:rPr>
        <w:t>s</w:t>
      </w:r>
      <w:r w:rsidR="00A86954" w:rsidRPr="00D13B3A">
        <w:rPr>
          <w:lang w:val="en-US"/>
        </w:rPr>
        <w:t xml:space="preserve">. We will </w:t>
      </w:r>
      <w:r w:rsidR="00781CE6">
        <w:rPr>
          <w:lang w:val="en-US"/>
        </w:rPr>
        <w:t>confirm</w:t>
      </w:r>
      <w:r w:rsidR="00A86954" w:rsidRPr="00D13B3A">
        <w:rPr>
          <w:lang w:val="en-US"/>
        </w:rPr>
        <w:t xml:space="preserve"> this approach particularly in Chapter 2 of this thesis</w:t>
      </w:r>
      <w:r w:rsidR="00622DBD" w:rsidRPr="00D13B3A">
        <w:rPr>
          <w:lang w:val="en-US"/>
        </w:rPr>
        <w:t>.</w:t>
      </w:r>
    </w:p>
    <w:p w:rsidR="009A7250" w:rsidRPr="00D13B3A" w:rsidRDefault="00781CE6" w:rsidP="003B7CFE">
      <w:pPr>
        <w:pStyle w:val="Corpodetexto"/>
        <w:spacing w:line="480" w:lineRule="auto"/>
        <w:ind w:firstLine="708"/>
        <w:rPr>
          <w:lang w:val="en-US"/>
        </w:rPr>
      </w:pPr>
      <w:r>
        <w:rPr>
          <w:lang w:val="en-US"/>
        </w:rPr>
        <w:t>T</w:t>
      </w:r>
      <w:r w:rsidR="00F855EE" w:rsidRPr="00D13B3A">
        <w:rPr>
          <w:lang w:val="en-US"/>
        </w:rPr>
        <w:t xml:space="preserve">he second unbundling, as described by Baldwin (2011), </w:t>
      </w:r>
      <w:r w:rsidR="00223607" w:rsidRPr="00D13B3A">
        <w:rPr>
          <w:lang w:val="en-US"/>
        </w:rPr>
        <w:t xml:space="preserve">led to </w:t>
      </w:r>
      <w:r w:rsidR="00F855EE" w:rsidRPr="00D13B3A">
        <w:rPr>
          <w:lang w:val="en-US"/>
        </w:rPr>
        <w:t xml:space="preserve">four major changes in </w:t>
      </w:r>
      <w:r w:rsidR="0013349E" w:rsidRPr="00D13B3A">
        <w:rPr>
          <w:lang w:val="en-US"/>
        </w:rPr>
        <w:t>international trade</w:t>
      </w:r>
      <w:r w:rsidR="00561552" w:rsidRPr="00D13B3A">
        <w:rPr>
          <w:lang w:val="en-US"/>
        </w:rPr>
        <w:t>: (</w:t>
      </w:r>
      <w:proofErr w:type="spellStart"/>
      <w:r w:rsidR="00561552" w:rsidRPr="00D13B3A">
        <w:rPr>
          <w:lang w:val="en-US"/>
        </w:rPr>
        <w:t>i</w:t>
      </w:r>
      <w:proofErr w:type="spellEnd"/>
      <w:r w:rsidR="00561552" w:rsidRPr="00D13B3A">
        <w:rPr>
          <w:lang w:val="en-US"/>
        </w:rPr>
        <w:t xml:space="preserve">) </w:t>
      </w:r>
      <w:r w:rsidR="00223607" w:rsidRPr="00D13B3A">
        <w:rPr>
          <w:lang w:val="en-US"/>
        </w:rPr>
        <w:t xml:space="preserve">cross-border trade in intermediate goods </w:t>
      </w:r>
      <w:r w:rsidR="00F855EE" w:rsidRPr="00D13B3A">
        <w:rPr>
          <w:lang w:val="en-US"/>
        </w:rPr>
        <w:t xml:space="preserve">dominates now </w:t>
      </w:r>
      <w:r w:rsidR="00223607" w:rsidRPr="00D13B3A">
        <w:rPr>
          <w:lang w:val="en-US"/>
        </w:rPr>
        <w:t xml:space="preserve">world merchandise </w:t>
      </w:r>
      <w:r w:rsidR="00561552" w:rsidRPr="00D13B3A">
        <w:rPr>
          <w:lang w:val="en-US"/>
        </w:rPr>
        <w:t>trade; (ii) geo</w:t>
      </w:r>
      <w:r w:rsidR="00992E7E" w:rsidRPr="00D13B3A">
        <w:rPr>
          <w:lang w:val="en-US"/>
        </w:rPr>
        <w:t xml:space="preserve">graphy of manufacturing </w:t>
      </w:r>
      <w:r w:rsidR="008A4A4A">
        <w:rPr>
          <w:lang w:val="en-US"/>
        </w:rPr>
        <w:t>evolved</w:t>
      </w:r>
      <w:r w:rsidR="00561552" w:rsidRPr="00D13B3A">
        <w:rPr>
          <w:lang w:val="en-US"/>
        </w:rPr>
        <w:t>;</w:t>
      </w:r>
      <w:r w:rsidR="00992E7E" w:rsidRPr="00D13B3A">
        <w:rPr>
          <w:lang w:val="en-US"/>
        </w:rPr>
        <w:t xml:space="preserve"> </w:t>
      </w:r>
      <w:r w:rsidR="00242992" w:rsidRPr="00D13B3A">
        <w:rPr>
          <w:lang w:val="en-US"/>
        </w:rPr>
        <w:t xml:space="preserve">(iii) </w:t>
      </w:r>
      <w:r w:rsidR="000D4B6C" w:rsidRPr="00D13B3A">
        <w:rPr>
          <w:lang w:val="en-US"/>
        </w:rPr>
        <w:t xml:space="preserve">the </w:t>
      </w:r>
      <w:r w:rsidR="006231F5" w:rsidRPr="00D13B3A">
        <w:rPr>
          <w:lang w:val="en-US"/>
        </w:rPr>
        <w:t xml:space="preserve">impact </w:t>
      </w:r>
      <w:r w:rsidR="000D4B6C" w:rsidRPr="00D13B3A">
        <w:rPr>
          <w:lang w:val="en-US"/>
        </w:rPr>
        <w:t xml:space="preserve">of traditional trade </w:t>
      </w:r>
      <w:r w:rsidR="00242992" w:rsidRPr="00D13B3A">
        <w:rPr>
          <w:lang w:val="en-US"/>
        </w:rPr>
        <w:t xml:space="preserve">policies </w:t>
      </w:r>
      <w:r w:rsidR="000D4B6C" w:rsidRPr="00D13B3A">
        <w:rPr>
          <w:lang w:val="en-US"/>
        </w:rPr>
        <w:t xml:space="preserve">decreased, as they do not take into account the </w:t>
      </w:r>
      <w:r w:rsidR="00A86954" w:rsidRPr="00D13B3A">
        <w:rPr>
          <w:lang w:val="en-US"/>
        </w:rPr>
        <w:t>international fragmentation of production</w:t>
      </w:r>
      <w:r w:rsidR="00F9005B" w:rsidRPr="00D13B3A">
        <w:rPr>
          <w:lang w:val="en-US"/>
        </w:rPr>
        <w:t xml:space="preserve">, </w:t>
      </w:r>
      <w:r w:rsidR="00A86954" w:rsidRPr="00D13B3A">
        <w:rPr>
          <w:lang w:val="en-US"/>
        </w:rPr>
        <w:t xml:space="preserve">so </w:t>
      </w:r>
      <w:r w:rsidR="000D4B6C" w:rsidRPr="00D13B3A">
        <w:rPr>
          <w:lang w:val="en-US"/>
        </w:rPr>
        <w:t xml:space="preserve">other instruments </w:t>
      </w:r>
      <w:r w:rsidR="00A86954" w:rsidRPr="00D13B3A">
        <w:rPr>
          <w:lang w:val="en-US"/>
        </w:rPr>
        <w:t>of trade policy emerged</w:t>
      </w:r>
      <w:r w:rsidR="00242992" w:rsidRPr="00D13B3A">
        <w:rPr>
          <w:lang w:val="en-US"/>
        </w:rPr>
        <w:t xml:space="preserve">; </w:t>
      </w:r>
      <w:r w:rsidR="00992E7E" w:rsidRPr="00D13B3A">
        <w:rPr>
          <w:lang w:val="en-US"/>
        </w:rPr>
        <w:t>and</w:t>
      </w:r>
      <w:r w:rsidR="009C62AE" w:rsidRPr="00D13B3A">
        <w:rPr>
          <w:lang w:val="en-US"/>
        </w:rPr>
        <w:t xml:space="preserve"> </w:t>
      </w:r>
      <w:r w:rsidR="00B52A8B">
        <w:rPr>
          <w:lang w:val="en-US"/>
        </w:rPr>
        <w:br/>
      </w:r>
      <w:r w:rsidR="00561552" w:rsidRPr="00D13B3A">
        <w:rPr>
          <w:lang w:val="en-US"/>
        </w:rPr>
        <w:t xml:space="preserve">(iv) </w:t>
      </w:r>
      <w:r w:rsidR="009C62AE" w:rsidRPr="00D13B3A">
        <w:rPr>
          <w:lang w:val="en-US"/>
        </w:rPr>
        <w:t xml:space="preserve">traditional trade statistics and measures became </w:t>
      </w:r>
      <w:r w:rsidR="00EA252C" w:rsidRPr="00D13B3A">
        <w:rPr>
          <w:lang w:val="en-US"/>
        </w:rPr>
        <w:t>outdated</w:t>
      </w:r>
      <w:r w:rsidR="00561552" w:rsidRPr="00D13B3A">
        <w:rPr>
          <w:lang w:val="en-US"/>
        </w:rPr>
        <w:t>.</w:t>
      </w:r>
      <w:r w:rsidR="00DE4D2B" w:rsidRPr="00D13B3A">
        <w:rPr>
          <w:lang w:val="en-US"/>
        </w:rPr>
        <w:t xml:space="preserve"> </w:t>
      </w:r>
      <w:r w:rsidR="00A86954" w:rsidRPr="00D13B3A">
        <w:rPr>
          <w:lang w:val="en-US"/>
        </w:rPr>
        <w:t xml:space="preserve">We will </w:t>
      </w:r>
      <w:r w:rsidR="00242992" w:rsidRPr="00D13B3A">
        <w:rPr>
          <w:lang w:val="en-US"/>
        </w:rPr>
        <w:t xml:space="preserve">look </w:t>
      </w:r>
      <w:r w:rsidR="00A86954" w:rsidRPr="00D13B3A">
        <w:rPr>
          <w:lang w:val="en-US"/>
        </w:rPr>
        <w:t>in</w:t>
      </w:r>
      <w:r w:rsidR="00242992" w:rsidRPr="00D13B3A">
        <w:rPr>
          <w:lang w:val="en-US"/>
        </w:rPr>
        <w:t>to e</w:t>
      </w:r>
      <w:r w:rsidR="00561552" w:rsidRPr="00D13B3A">
        <w:rPr>
          <w:lang w:val="en-US"/>
        </w:rPr>
        <w:t xml:space="preserve">ach one of these </w:t>
      </w:r>
      <w:r w:rsidR="00242992" w:rsidRPr="00D13B3A">
        <w:rPr>
          <w:lang w:val="en-US"/>
        </w:rPr>
        <w:t xml:space="preserve">four </w:t>
      </w:r>
      <w:r w:rsidR="008A4A4A">
        <w:rPr>
          <w:lang w:val="en-US"/>
        </w:rPr>
        <w:t xml:space="preserve">changes </w:t>
      </w:r>
      <w:r w:rsidR="00242992" w:rsidRPr="00D13B3A">
        <w:rPr>
          <w:lang w:val="en-US"/>
        </w:rPr>
        <w:t>in more detail</w:t>
      </w:r>
      <w:r w:rsidR="00A86954" w:rsidRPr="00D13B3A">
        <w:rPr>
          <w:lang w:val="en-US"/>
        </w:rPr>
        <w:t xml:space="preserve"> next</w:t>
      </w:r>
      <w:r w:rsidR="00992E7E" w:rsidRPr="00D13B3A">
        <w:rPr>
          <w:lang w:val="en-US"/>
        </w:rPr>
        <w:t>.</w:t>
      </w:r>
    </w:p>
    <w:p w:rsidR="00471477" w:rsidRPr="00D13B3A" w:rsidRDefault="00E431CB" w:rsidP="00FF5AFB">
      <w:pPr>
        <w:pStyle w:val="Corpodetexto"/>
        <w:spacing w:line="480" w:lineRule="auto"/>
        <w:ind w:firstLine="708"/>
        <w:rPr>
          <w:lang w:val="en-US"/>
        </w:rPr>
      </w:pPr>
      <w:r w:rsidRPr="00D13B3A">
        <w:rPr>
          <w:lang w:val="en-US"/>
        </w:rPr>
        <w:t>First,</w:t>
      </w:r>
      <w:r w:rsidR="005868C1" w:rsidRPr="00D13B3A">
        <w:rPr>
          <w:lang w:val="en-US"/>
        </w:rPr>
        <w:t xml:space="preserve"> </w:t>
      </w:r>
      <w:r w:rsidR="00242992" w:rsidRPr="00D13B3A">
        <w:rPr>
          <w:lang w:val="en-US"/>
        </w:rPr>
        <w:t xml:space="preserve">cross-border trade in intermediate goods increased significantly. </w:t>
      </w:r>
      <w:r w:rsidR="00E553BE" w:rsidRPr="00D13B3A">
        <w:rPr>
          <w:lang w:val="en-US"/>
        </w:rPr>
        <w:t xml:space="preserve">Most of the recent increase in global trade was due to the sizeable growth of trade in parts and components. </w:t>
      </w:r>
      <w:proofErr w:type="spellStart"/>
      <w:r w:rsidR="00E553BE" w:rsidRPr="00D13B3A">
        <w:rPr>
          <w:lang w:val="en-US"/>
        </w:rPr>
        <w:t>Mirodout</w:t>
      </w:r>
      <w:proofErr w:type="spellEnd"/>
      <w:r w:rsidR="00E553BE" w:rsidRPr="00D13B3A">
        <w:rPr>
          <w:lang w:val="en-US"/>
        </w:rPr>
        <w:t xml:space="preserve"> et al (2009) showed that international trade in intermediates accounted for about 60% of the USD 20 trillion annual global trade in 2005 (56% in the case of goods and 73% in the case of services). </w:t>
      </w:r>
      <w:r w:rsidR="0012233E">
        <w:fldChar w:fldCharType="begin"/>
      </w:r>
      <w:r w:rsidR="0012233E">
        <w:instrText xml:space="preserve"> REF _Ref356887956 \h  \* MERGEFORMAT </w:instrText>
      </w:r>
      <w:r w:rsidR="0012233E">
        <w:fldChar w:fldCharType="separate"/>
      </w:r>
      <w:r w:rsidR="00DE6A26" w:rsidRPr="00DE6A26">
        <w:rPr>
          <w:lang w:val="en-US"/>
        </w:rPr>
        <w:t>Figure 3</w:t>
      </w:r>
      <w:r w:rsidR="0012233E">
        <w:fldChar w:fldCharType="end"/>
      </w:r>
      <w:r w:rsidR="0019413F" w:rsidRPr="00D13B3A">
        <w:rPr>
          <w:lang w:val="en-US"/>
        </w:rPr>
        <w:t xml:space="preserve"> below</w:t>
      </w:r>
      <w:r w:rsidR="005966F8" w:rsidRPr="00D13B3A">
        <w:rPr>
          <w:lang w:val="en-US"/>
        </w:rPr>
        <w:t xml:space="preserve"> shows that the </w:t>
      </w:r>
      <w:r w:rsidR="00E41276">
        <w:rPr>
          <w:lang w:val="en-US"/>
        </w:rPr>
        <w:t>VS</w:t>
      </w:r>
      <w:r w:rsidR="000A6FA7" w:rsidRPr="00D13B3A">
        <w:rPr>
          <w:lang w:val="en-US"/>
        </w:rPr>
        <w:t xml:space="preserve"> </w:t>
      </w:r>
      <w:r w:rsidR="005966F8" w:rsidRPr="00D13B3A">
        <w:rPr>
          <w:lang w:val="en-US"/>
        </w:rPr>
        <w:t>index</w:t>
      </w:r>
      <w:r w:rsidR="00242992" w:rsidRPr="00D13B3A">
        <w:rPr>
          <w:lang w:val="en-US"/>
        </w:rPr>
        <w:t xml:space="preserve">, taken as a proxy for supply-chain trade, increased </w:t>
      </w:r>
      <w:r w:rsidR="005747AA" w:rsidRPr="00D13B3A">
        <w:rPr>
          <w:lang w:val="en-US"/>
        </w:rPr>
        <w:t xml:space="preserve">mainly </w:t>
      </w:r>
      <w:r w:rsidR="006552CF" w:rsidRPr="00D13B3A">
        <w:rPr>
          <w:lang w:val="en-US"/>
        </w:rPr>
        <w:t>in Asia</w:t>
      </w:r>
      <w:r w:rsidR="005747AA" w:rsidRPr="00D13B3A">
        <w:rPr>
          <w:lang w:val="en-US"/>
        </w:rPr>
        <w:t>,</w:t>
      </w:r>
      <w:r w:rsidR="006552CF" w:rsidRPr="00D13B3A">
        <w:rPr>
          <w:lang w:val="en-US"/>
        </w:rPr>
        <w:t xml:space="preserve"> </w:t>
      </w:r>
      <w:r w:rsidR="00242992" w:rsidRPr="00D13B3A">
        <w:rPr>
          <w:lang w:val="en-US"/>
        </w:rPr>
        <w:t>from 1990 onwards.</w:t>
      </w:r>
      <w:r w:rsidR="00E553BE" w:rsidRPr="00D13B3A">
        <w:rPr>
          <w:lang w:val="en-US"/>
        </w:rPr>
        <w:t xml:space="preserve"> This index, estimated by Baldwin &amp; Lopez-Gonzalez (2015) according to the methodology presented by Amador &amp; Cabral (2009), is based on the intuition that if a country simultaneously exports a product and imports a related intermediate good in such </w:t>
      </w:r>
      <w:r w:rsidR="00E553BE" w:rsidRPr="00D13B3A">
        <w:rPr>
          <w:lang w:val="en-US"/>
        </w:rPr>
        <w:lastRenderedPageBreak/>
        <w:t>a way that their relative shares are much higher than the average of the other countries, then international vertical linkages must play a role</w:t>
      </w:r>
      <w:r w:rsidR="00E553BE" w:rsidRPr="00D13B3A">
        <w:rPr>
          <w:rStyle w:val="Refdenotaderodap"/>
          <w:lang w:val="en-US"/>
        </w:rPr>
        <w:footnoteReference w:id="5"/>
      </w:r>
      <w:r w:rsidR="00E553BE" w:rsidRPr="00D13B3A">
        <w:rPr>
          <w:lang w:val="en-US"/>
        </w:rPr>
        <w:t xml:space="preserve">. </w:t>
      </w:r>
    </w:p>
    <w:p w:rsidR="00242992" w:rsidRPr="00D13B3A" w:rsidRDefault="00242992" w:rsidP="007C749C">
      <w:pPr>
        <w:pStyle w:val="Figure"/>
        <w:rPr>
          <w:b/>
        </w:rPr>
      </w:pPr>
      <w:bookmarkStart w:id="14" w:name="_Ref356887956"/>
      <w:bookmarkStart w:id="15" w:name="_Toc357173254"/>
      <w:bookmarkStart w:id="16" w:name="_Toc438749250"/>
      <w:bookmarkStart w:id="17" w:name="_Toc494032888"/>
      <w:r w:rsidRPr="00D13B3A">
        <w:t xml:space="preserve">Figure </w:t>
      </w:r>
      <w:r w:rsidR="0012233E">
        <w:rPr>
          <w:noProof/>
        </w:rPr>
        <w:fldChar w:fldCharType="begin"/>
      </w:r>
      <w:r w:rsidR="0012233E">
        <w:rPr>
          <w:noProof/>
        </w:rPr>
        <w:instrText xml:space="preserve"> SEQ Figure \* ARABIC </w:instrText>
      </w:r>
      <w:r w:rsidR="0012233E">
        <w:rPr>
          <w:noProof/>
        </w:rPr>
        <w:fldChar w:fldCharType="separate"/>
      </w:r>
      <w:r w:rsidR="00DE6A26">
        <w:rPr>
          <w:noProof/>
        </w:rPr>
        <w:t>3</w:t>
      </w:r>
      <w:r w:rsidR="0012233E">
        <w:rPr>
          <w:noProof/>
        </w:rPr>
        <w:fldChar w:fldCharType="end"/>
      </w:r>
      <w:bookmarkEnd w:id="14"/>
      <w:r w:rsidR="007C749C" w:rsidRPr="00D13B3A">
        <w:t xml:space="preserve"> </w:t>
      </w:r>
      <w:r w:rsidR="006E5963" w:rsidRPr="00D13B3A">
        <w:t>–</w:t>
      </w:r>
      <w:r w:rsidR="00714BB5" w:rsidRPr="00D13B3A">
        <w:t>The observed increase in</w:t>
      </w:r>
      <w:bookmarkEnd w:id="15"/>
      <w:r w:rsidR="00714BB5" w:rsidRPr="00D13B3A">
        <w:t xml:space="preserve"> </w:t>
      </w:r>
      <w:r w:rsidR="006E5963" w:rsidRPr="00D13B3A">
        <w:t xml:space="preserve">vertical specialization </w:t>
      </w:r>
      <w:r w:rsidR="00714BB5" w:rsidRPr="00D13B3A">
        <w:t>in Asia</w:t>
      </w:r>
      <w:bookmarkEnd w:id="16"/>
      <w:bookmarkEnd w:id="17"/>
    </w:p>
    <w:p w:rsidR="00242992" w:rsidRPr="00D13B3A" w:rsidRDefault="00242992" w:rsidP="00242992">
      <w:pPr>
        <w:jc w:val="center"/>
        <w:rPr>
          <w:lang w:val="en-US"/>
        </w:rPr>
      </w:pPr>
      <w:r w:rsidRPr="00D13B3A">
        <w:rPr>
          <w:noProof/>
          <w:lang w:val="pt-PT"/>
        </w:rPr>
        <w:drawing>
          <wp:inline distT="0" distB="0" distL="0" distR="0">
            <wp:extent cx="2237387" cy="2068172"/>
            <wp:effectExtent l="19050" t="19050" r="10795" b="279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237096" cy="2067903"/>
                    </a:xfrm>
                    <a:prstGeom prst="rect">
                      <a:avLst/>
                    </a:prstGeom>
                    <a:ln>
                      <a:solidFill>
                        <a:schemeClr val="tx1"/>
                      </a:solidFill>
                    </a:ln>
                  </pic:spPr>
                </pic:pic>
              </a:graphicData>
            </a:graphic>
          </wp:inline>
        </w:drawing>
      </w:r>
    </w:p>
    <w:p w:rsidR="00242992" w:rsidRPr="00D13B3A" w:rsidRDefault="00242992" w:rsidP="00831588">
      <w:pPr>
        <w:pStyle w:val="Corpodetexto"/>
        <w:spacing w:before="120" w:after="240" w:line="240" w:lineRule="auto"/>
        <w:jc w:val="center"/>
        <w:rPr>
          <w:sz w:val="18"/>
          <w:szCs w:val="18"/>
          <w:lang w:val="en-US"/>
        </w:rPr>
      </w:pPr>
      <w:r w:rsidRPr="00D13B3A">
        <w:rPr>
          <w:sz w:val="18"/>
          <w:szCs w:val="18"/>
          <w:lang w:val="en-US"/>
        </w:rPr>
        <w:t>Source: Amador &amp; Cabral (2009)</w:t>
      </w:r>
      <w:r w:rsidR="00203F01" w:rsidRPr="00D13B3A">
        <w:rPr>
          <w:sz w:val="18"/>
          <w:szCs w:val="18"/>
          <w:lang w:val="en-US"/>
        </w:rPr>
        <w:t>'s proxy for supply-chain trade</w:t>
      </w:r>
      <w:r w:rsidR="00EA252C" w:rsidRPr="00D13B3A">
        <w:rPr>
          <w:sz w:val="18"/>
          <w:szCs w:val="18"/>
          <w:lang w:val="en-US"/>
        </w:rPr>
        <w:t>,</w:t>
      </w:r>
      <w:r w:rsidR="00203F01" w:rsidRPr="00D13B3A">
        <w:rPr>
          <w:sz w:val="18"/>
          <w:szCs w:val="18"/>
          <w:lang w:val="en-US"/>
        </w:rPr>
        <w:t xml:space="preserve"> as presented by Baldwin &amp; Lopez-Gonzalez (2015)</w:t>
      </w:r>
      <w:r w:rsidRPr="00D13B3A">
        <w:rPr>
          <w:sz w:val="18"/>
          <w:szCs w:val="18"/>
          <w:lang w:val="en-US"/>
        </w:rPr>
        <w:t>. Eur &amp; NorAm stands for Europe &amp; North America.</w:t>
      </w:r>
    </w:p>
    <w:p w:rsidR="004246F8" w:rsidRPr="00D13B3A" w:rsidRDefault="004246F8" w:rsidP="00FF5AFB">
      <w:pPr>
        <w:pStyle w:val="Corpodetexto"/>
        <w:spacing w:line="480" w:lineRule="auto"/>
        <w:ind w:firstLine="708"/>
        <w:rPr>
          <w:lang w:val="en-US"/>
        </w:rPr>
      </w:pPr>
    </w:p>
    <w:p w:rsidR="00860308" w:rsidRPr="00D13B3A" w:rsidRDefault="00242992" w:rsidP="006309C0">
      <w:pPr>
        <w:pStyle w:val="Corpodetexto"/>
        <w:spacing w:line="480" w:lineRule="auto"/>
        <w:ind w:firstLine="709"/>
        <w:rPr>
          <w:lang w:val="en-US"/>
        </w:rPr>
      </w:pPr>
      <w:r w:rsidRPr="00D13B3A">
        <w:rPr>
          <w:lang w:val="en-US"/>
        </w:rPr>
        <w:t>Second</w:t>
      </w:r>
      <w:r w:rsidR="002E51C5" w:rsidRPr="00D13B3A">
        <w:rPr>
          <w:lang w:val="en-US"/>
        </w:rPr>
        <w:t xml:space="preserve">, </w:t>
      </w:r>
      <w:r w:rsidR="00A663A0" w:rsidRPr="00D13B3A">
        <w:rPr>
          <w:lang w:val="en-US"/>
        </w:rPr>
        <w:t xml:space="preserve">geography of </w:t>
      </w:r>
      <w:r w:rsidR="00D87579" w:rsidRPr="00D13B3A">
        <w:rPr>
          <w:lang w:val="en-US"/>
        </w:rPr>
        <w:t>manufacturing changed</w:t>
      </w:r>
      <w:r w:rsidR="00C31AAF" w:rsidRPr="00D13B3A">
        <w:rPr>
          <w:lang w:val="en-US"/>
        </w:rPr>
        <w:t xml:space="preserve">. A major </w:t>
      </w:r>
      <w:r w:rsidR="007B6E68" w:rsidRPr="00D13B3A">
        <w:rPr>
          <w:lang w:val="en-US"/>
        </w:rPr>
        <w:t xml:space="preserve">transformation </w:t>
      </w:r>
      <w:r w:rsidR="00C31AAF" w:rsidRPr="00D13B3A">
        <w:rPr>
          <w:lang w:val="en-US"/>
        </w:rPr>
        <w:t>was observed in the relative weigh of manufactur</w:t>
      </w:r>
      <w:r w:rsidR="00831588" w:rsidRPr="00D13B3A">
        <w:rPr>
          <w:lang w:val="en-US"/>
        </w:rPr>
        <w:t>ing economies</w:t>
      </w:r>
      <w:r w:rsidR="00866DEF" w:rsidRPr="00D13B3A">
        <w:rPr>
          <w:lang w:val="en-US"/>
        </w:rPr>
        <w:t>.</w:t>
      </w:r>
      <w:r w:rsidR="007B6E68" w:rsidRPr="00D13B3A">
        <w:rPr>
          <w:lang w:val="en-US"/>
        </w:rPr>
        <w:t xml:space="preserve"> </w:t>
      </w:r>
      <w:r w:rsidR="0012233E">
        <w:fldChar w:fldCharType="begin"/>
      </w:r>
      <w:r w:rsidR="0012233E">
        <w:instrText xml:space="preserve"> REF _Ref356895090 \h  \* MERGEFORMAT </w:instrText>
      </w:r>
      <w:r w:rsidR="0012233E">
        <w:fldChar w:fldCharType="separate"/>
      </w:r>
      <w:r w:rsidR="00DE6A26" w:rsidRPr="00DE6A26">
        <w:rPr>
          <w:lang w:val="en-US"/>
        </w:rPr>
        <w:t>Figure 4</w:t>
      </w:r>
      <w:r w:rsidR="0012233E">
        <w:fldChar w:fldCharType="end"/>
      </w:r>
      <w:r w:rsidR="007B6E68" w:rsidRPr="00D13B3A">
        <w:rPr>
          <w:lang w:val="en-US"/>
        </w:rPr>
        <w:t xml:space="preserve"> below</w:t>
      </w:r>
      <w:r w:rsidR="00866DEF" w:rsidRPr="00D13B3A">
        <w:rPr>
          <w:lang w:val="en-US"/>
        </w:rPr>
        <w:t xml:space="preserve"> shows that, although </w:t>
      </w:r>
      <w:r w:rsidR="00714BB5" w:rsidRPr="00D13B3A">
        <w:rPr>
          <w:lang w:val="en-US"/>
        </w:rPr>
        <w:t>the U</w:t>
      </w:r>
      <w:r w:rsidR="00866DEF" w:rsidRPr="00D13B3A">
        <w:rPr>
          <w:lang w:val="en-US"/>
        </w:rPr>
        <w:t>nited States (U</w:t>
      </w:r>
      <w:r w:rsidR="00714BB5" w:rsidRPr="00D13B3A">
        <w:rPr>
          <w:lang w:val="en-US"/>
        </w:rPr>
        <w:t>S</w:t>
      </w:r>
      <w:r w:rsidR="00866DEF" w:rsidRPr="00D13B3A">
        <w:rPr>
          <w:lang w:val="en-US"/>
        </w:rPr>
        <w:t>)</w:t>
      </w:r>
      <w:r w:rsidR="00714BB5" w:rsidRPr="00D13B3A">
        <w:rPr>
          <w:lang w:val="en-US"/>
        </w:rPr>
        <w:t xml:space="preserve">, Germany and Japan </w:t>
      </w:r>
      <w:r w:rsidR="00866DEF" w:rsidRPr="00D13B3A">
        <w:rPr>
          <w:lang w:val="en-US"/>
        </w:rPr>
        <w:t xml:space="preserve">jointly </w:t>
      </w:r>
      <w:r w:rsidR="00714BB5" w:rsidRPr="00D13B3A">
        <w:rPr>
          <w:lang w:val="en-US"/>
        </w:rPr>
        <w:t>accounted for nearly 53% of the world's manufacturing production</w:t>
      </w:r>
      <w:r w:rsidR="00866DEF" w:rsidRPr="00D13B3A">
        <w:rPr>
          <w:lang w:val="en-US"/>
        </w:rPr>
        <w:t xml:space="preserve"> in 1970</w:t>
      </w:r>
      <w:r w:rsidR="00714BB5" w:rsidRPr="00D13B3A">
        <w:rPr>
          <w:lang w:val="en-US"/>
        </w:rPr>
        <w:t xml:space="preserve">, their share decreased to 37% in 2010. </w:t>
      </w:r>
      <w:r w:rsidR="00866DEF" w:rsidRPr="00D13B3A">
        <w:rPr>
          <w:lang w:val="en-US"/>
        </w:rPr>
        <w:t xml:space="preserve">Following this trend, </w:t>
      </w:r>
      <w:r w:rsidR="00714BB5" w:rsidRPr="00D13B3A">
        <w:rPr>
          <w:lang w:val="en-US"/>
        </w:rPr>
        <w:t xml:space="preserve">the relative weigh of the </w:t>
      </w:r>
      <w:r w:rsidR="00B52A8B">
        <w:rPr>
          <w:lang w:val="en-US"/>
        </w:rPr>
        <w:t>economies of the Group of the seven major advanced nations (</w:t>
      </w:r>
      <w:r w:rsidR="00714BB5" w:rsidRPr="00D13B3A">
        <w:rPr>
          <w:lang w:val="en-US"/>
        </w:rPr>
        <w:t>G7</w:t>
      </w:r>
      <w:r w:rsidR="00B52A8B">
        <w:rPr>
          <w:lang w:val="en-US"/>
        </w:rPr>
        <w:t>)</w:t>
      </w:r>
      <w:r w:rsidR="00B52A8B">
        <w:rPr>
          <w:rStyle w:val="Refdenotaderodap"/>
          <w:lang w:val="en-US"/>
        </w:rPr>
        <w:footnoteReference w:id="6"/>
      </w:r>
      <w:r w:rsidR="00714BB5" w:rsidRPr="00D13B3A">
        <w:rPr>
          <w:lang w:val="en-US"/>
        </w:rPr>
        <w:t xml:space="preserve"> dropped from 65% to 47% of global manufacturing share (18 percentage points</w:t>
      </w:r>
      <w:r w:rsidR="006107CF">
        <w:rPr>
          <w:lang w:val="en-US"/>
        </w:rPr>
        <w:t>, pp</w:t>
      </w:r>
      <w:r w:rsidR="00714BB5" w:rsidRPr="00D13B3A">
        <w:rPr>
          <w:lang w:val="en-US"/>
        </w:rPr>
        <w:t>)</w:t>
      </w:r>
      <w:r w:rsidR="00866DEF" w:rsidRPr="00D13B3A">
        <w:rPr>
          <w:lang w:val="en-US"/>
        </w:rPr>
        <w:t xml:space="preserve"> from 1990 to 2010</w:t>
      </w:r>
      <w:r w:rsidR="00714BB5" w:rsidRPr="00D13B3A">
        <w:rPr>
          <w:lang w:val="en-US"/>
        </w:rPr>
        <w:t xml:space="preserve">. </w:t>
      </w:r>
      <w:r w:rsidR="00866DEF" w:rsidRPr="00D13B3A">
        <w:rPr>
          <w:lang w:val="en-US"/>
        </w:rPr>
        <w:t xml:space="preserve">On the opposite direction, </w:t>
      </w:r>
      <w:r w:rsidR="00714BB5" w:rsidRPr="00D13B3A">
        <w:rPr>
          <w:lang w:val="en-US"/>
        </w:rPr>
        <w:t>the weight of the People’s Republic of China (PRC) increased by 16 percentage points</w:t>
      </w:r>
      <w:r w:rsidR="00866DEF" w:rsidRPr="00D13B3A">
        <w:rPr>
          <w:lang w:val="en-US"/>
        </w:rPr>
        <w:t xml:space="preserve"> in the same period</w:t>
      </w:r>
      <w:r w:rsidR="00714BB5" w:rsidRPr="00D13B3A">
        <w:rPr>
          <w:lang w:val="en-US"/>
        </w:rPr>
        <w:t xml:space="preserve">, </w:t>
      </w:r>
      <w:r w:rsidR="00714BB5" w:rsidRPr="00D13B3A">
        <w:rPr>
          <w:lang w:val="en-US"/>
        </w:rPr>
        <w:lastRenderedPageBreak/>
        <w:t xml:space="preserve">while six other nations </w:t>
      </w:r>
      <w:r w:rsidR="00866DEF" w:rsidRPr="00D13B3A">
        <w:rPr>
          <w:lang w:val="en-US"/>
        </w:rPr>
        <w:t xml:space="preserve">also </w:t>
      </w:r>
      <w:r w:rsidR="00714BB5" w:rsidRPr="00D13B3A">
        <w:rPr>
          <w:lang w:val="en-US"/>
        </w:rPr>
        <w:t>saw their shares rise by more than half percentage point, namely: India, Indonesia, Poland, South Korea, Thailand, and Turkey.</w:t>
      </w:r>
    </w:p>
    <w:p w:rsidR="00866DEF" w:rsidRPr="00D13B3A" w:rsidRDefault="00866DEF" w:rsidP="006309C0">
      <w:pPr>
        <w:pStyle w:val="Corpodetexto"/>
        <w:spacing w:line="480" w:lineRule="auto"/>
        <w:ind w:firstLine="709"/>
        <w:rPr>
          <w:lang w:val="en-US"/>
        </w:rPr>
      </w:pPr>
    </w:p>
    <w:p w:rsidR="00866DEF" w:rsidRPr="00D13B3A" w:rsidRDefault="00866DEF" w:rsidP="006309C0">
      <w:pPr>
        <w:pStyle w:val="Corpodetexto"/>
        <w:spacing w:line="480" w:lineRule="auto"/>
        <w:ind w:firstLine="709"/>
        <w:rPr>
          <w:lang w:val="en-US"/>
        </w:rPr>
      </w:pPr>
    </w:p>
    <w:p w:rsidR="00866DEF" w:rsidRPr="00D13B3A" w:rsidRDefault="00866DEF" w:rsidP="006309C0">
      <w:pPr>
        <w:pStyle w:val="Corpodetexto"/>
        <w:spacing w:line="480" w:lineRule="auto"/>
        <w:ind w:firstLine="709"/>
        <w:rPr>
          <w:lang w:val="en-US"/>
        </w:rPr>
      </w:pPr>
    </w:p>
    <w:p w:rsidR="008B07B4" w:rsidRPr="00D13B3A" w:rsidRDefault="008B07B4" w:rsidP="00F930D8">
      <w:pPr>
        <w:pStyle w:val="Figure"/>
        <w:rPr>
          <w:lang w:eastAsia="en-US"/>
        </w:rPr>
      </w:pPr>
      <w:bookmarkStart w:id="18" w:name="_Ref356895090"/>
      <w:bookmarkStart w:id="19" w:name="_Toc357173256"/>
      <w:bookmarkStart w:id="20" w:name="_Toc438749253"/>
      <w:bookmarkStart w:id="21" w:name="_Toc494032889"/>
      <w:r w:rsidRPr="00D13B3A">
        <w:t xml:space="preserve">Figure </w:t>
      </w:r>
      <w:r w:rsidR="00E27028" w:rsidRPr="00D13B3A">
        <w:fldChar w:fldCharType="begin"/>
      </w:r>
      <w:r w:rsidR="00493D3D" w:rsidRPr="00D13B3A">
        <w:instrText xml:space="preserve"> SEQ Figure \* ARABIC </w:instrText>
      </w:r>
      <w:r w:rsidR="00E27028" w:rsidRPr="00D13B3A">
        <w:fldChar w:fldCharType="separate"/>
      </w:r>
      <w:r w:rsidR="00DE6A26">
        <w:rPr>
          <w:noProof/>
        </w:rPr>
        <w:t>4</w:t>
      </w:r>
      <w:r w:rsidR="00E27028" w:rsidRPr="00D13B3A">
        <w:fldChar w:fldCharType="end"/>
      </w:r>
      <w:bookmarkEnd w:id="18"/>
      <w:r w:rsidR="007C749C" w:rsidRPr="00D13B3A">
        <w:t xml:space="preserve"> </w:t>
      </w:r>
      <w:r w:rsidR="000B2894" w:rsidRPr="00D13B3A">
        <w:t>–</w:t>
      </w:r>
      <w:r w:rsidR="007C749C" w:rsidRPr="00D13B3A">
        <w:t xml:space="preserve"> </w:t>
      </w:r>
      <w:bookmarkEnd w:id="19"/>
      <w:bookmarkEnd w:id="20"/>
      <w:r w:rsidR="000B2894" w:rsidRPr="00D13B3A">
        <w:t xml:space="preserve">Change in the </w:t>
      </w:r>
      <w:r w:rsidR="00831588" w:rsidRPr="00D13B3A">
        <w:t>r</w:t>
      </w:r>
      <w:r w:rsidR="000B2894" w:rsidRPr="00D13B3A">
        <w:t xml:space="preserve">elative </w:t>
      </w:r>
      <w:r w:rsidR="00831588" w:rsidRPr="00D13B3A">
        <w:t>w</w:t>
      </w:r>
      <w:r w:rsidR="000B2894" w:rsidRPr="00D13B3A">
        <w:t xml:space="preserve">eight of </w:t>
      </w:r>
      <w:r w:rsidR="00831588" w:rsidRPr="00D13B3A">
        <w:t>m</w:t>
      </w:r>
      <w:r w:rsidR="000B2894" w:rsidRPr="00D13B3A">
        <w:t>anufactur</w:t>
      </w:r>
      <w:r w:rsidR="00831588" w:rsidRPr="00D13B3A">
        <w:t>ing economies</w:t>
      </w:r>
      <w:r w:rsidR="000B2894" w:rsidRPr="00D13B3A">
        <w:t xml:space="preserve"> </w:t>
      </w:r>
      <w:r w:rsidR="000D02D7" w:rsidRPr="00D13B3A">
        <w:rPr>
          <w:lang w:eastAsia="en-US"/>
        </w:rPr>
        <w:t>between 1970 and 2010</w:t>
      </w:r>
      <w:bookmarkEnd w:id="21"/>
    </w:p>
    <w:tbl>
      <w:tblPr>
        <w:tblStyle w:val="TabelacomGrelha"/>
        <w:tblW w:w="0" w:type="auto"/>
        <w:tblLook w:val="04A0" w:firstRow="1" w:lastRow="0" w:firstColumn="1" w:lastColumn="0" w:noHBand="0" w:noVBand="1"/>
      </w:tblPr>
      <w:tblGrid>
        <w:gridCol w:w="8494"/>
      </w:tblGrid>
      <w:tr w:rsidR="00655504" w:rsidRPr="00D13B3A" w:rsidTr="00655504">
        <w:tc>
          <w:tcPr>
            <w:tcW w:w="8644" w:type="dxa"/>
          </w:tcPr>
          <w:p w:rsidR="00655504" w:rsidRPr="00D13B3A" w:rsidRDefault="00655504" w:rsidP="00655504">
            <w:pPr>
              <w:rPr>
                <w:lang w:val="en-US" w:eastAsia="en-US"/>
              </w:rPr>
            </w:pPr>
            <w:r w:rsidRPr="00D13B3A">
              <w:rPr>
                <w:noProof/>
                <w:lang w:val="pt-PT"/>
              </w:rPr>
              <w:drawing>
                <wp:inline distT="0" distB="0" distL="0" distR="0">
                  <wp:extent cx="5400040" cy="199981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0040" cy="1999811"/>
                          </a:xfrm>
                          <a:prstGeom prst="rect">
                            <a:avLst/>
                          </a:prstGeom>
                          <a:ln>
                            <a:noFill/>
                          </a:ln>
                        </pic:spPr>
                      </pic:pic>
                    </a:graphicData>
                  </a:graphic>
                </wp:inline>
              </w:drawing>
            </w:r>
          </w:p>
        </w:tc>
      </w:tr>
    </w:tbl>
    <w:p w:rsidR="008B07B4" w:rsidRPr="00D13B3A" w:rsidRDefault="008B07B4" w:rsidP="00831588">
      <w:pPr>
        <w:pStyle w:val="Corpodetexto"/>
        <w:spacing w:before="120" w:after="240" w:line="240" w:lineRule="auto"/>
        <w:jc w:val="center"/>
        <w:rPr>
          <w:sz w:val="18"/>
          <w:szCs w:val="18"/>
          <w:lang w:val="en-US"/>
        </w:rPr>
      </w:pPr>
      <w:r w:rsidRPr="00D13B3A">
        <w:rPr>
          <w:sz w:val="18"/>
          <w:szCs w:val="18"/>
          <w:lang w:val="en-US"/>
        </w:rPr>
        <w:t xml:space="preserve">Source: </w:t>
      </w:r>
      <w:r w:rsidR="00994C52" w:rsidRPr="00D13B3A">
        <w:rPr>
          <w:sz w:val="18"/>
          <w:szCs w:val="18"/>
          <w:lang w:val="en-US"/>
        </w:rPr>
        <w:t xml:space="preserve">Baldwin &amp; Lopez-Gonzalez </w:t>
      </w:r>
      <w:r w:rsidRPr="00D13B3A">
        <w:rPr>
          <w:sz w:val="18"/>
          <w:szCs w:val="18"/>
          <w:lang w:val="en-US"/>
        </w:rPr>
        <w:t>(201</w:t>
      </w:r>
      <w:r w:rsidR="00D035BD" w:rsidRPr="00D13B3A">
        <w:rPr>
          <w:sz w:val="18"/>
          <w:szCs w:val="18"/>
          <w:lang w:val="en-US"/>
        </w:rPr>
        <w:t>5</w:t>
      </w:r>
      <w:r w:rsidRPr="00D13B3A">
        <w:rPr>
          <w:sz w:val="18"/>
          <w:szCs w:val="18"/>
          <w:lang w:val="en-US"/>
        </w:rPr>
        <w:t xml:space="preserve">), </w:t>
      </w:r>
      <w:r w:rsidR="001618BB" w:rsidRPr="00D13B3A">
        <w:rPr>
          <w:sz w:val="18"/>
          <w:szCs w:val="18"/>
          <w:lang w:val="en-US"/>
        </w:rPr>
        <w:t xml:space="preserve">based on data from </w:t>
      </w:r>
      <w:r w:rsidR="001618BB" w:rsidRPr="00D13B3A">
        <w:rPr>
          <w:color w:val="002060"/>
          <w:sz w:val="18"/>
          <w:szCs w:val="18"/>
          <w:u w:val="single"/>
          <w:lang w:val="en-US"/>
        </w:rPr>
        <w:t>unstats.un.org</w:t>
      </w:r>
      <w:r w:rsidRPr="00D13B3A">
        <w:rPr>
          <w:sz w:val="18"/>
          <w:szCs w:val="18"/>
          <w:lang w:val="en-US"/>
        </w:rPr>
        <w:t>.</w:t>
      </w:r>
      <w:r w:rsidR="001703BF" w:rsidRPr="00D13B3A">
        <w:rPr>
          <w:sz w:val="18"/>
          <w:szCs w:val="18"/>
          <w:lang w:val="en-US"/>
        </w:rPr>
        <w:t xml:space="preserve"> Three graphs are depicted due to the change in scale on the y-axis. G7 countries are: Canada, France, Germany, Italy, Japan, </w:t>
      </w:r>
      <w:r w:rsidR="00B41B7C" w:rsidRPr="00D13B3A">
        <w:rPr>
          <w:sz w:val="18"/>
          <w:szCs w:val="18"/>
          <w:lang w:val="en-US"/>
        </w:rPr>
        <w:t xml:space="preserve">the </w:t>
      </w:r>
      <w:r w:rsidR="001703BF" w:rsidRPr="00D13B3A">
        <w:rPr>
          <w:sz w:val="18"/>
          <w:szCs w:val="18"/>
          <w:lang w:val="en-US"/>
        </w:rPr>
        <w:t>U</w:t>
      </w:r>
      <w:r w:rsidR="00B41B7C" w:rsidRPr="00D13B3A">
        <w:rPr>
          <w:sz w:val="18"/>
          <w:szCs w:val="18"/>
          <w:lang w:val="en-US"/>
        </w:rPr>
        <w:t xml:space="preserve">nited </w:t>
      </w:r>
      <w:r w:rsidR="001703BF" w:rsidRPr="00D13B3A">
        <w:rPr>
          <w:sz w:val="18"/>
          <w:szCs w:val="18"/>
          <w:lang w:val="en-US"/>
        </w:rPr>
        <w:t>K</w:t>
      </w:r>
      <w:r w:rsidR="00B41B7C" w:rsidRPr="00D13B3A">
        <w:rPr>
          <w:sz w:val="18"/>
          <w:szCs w:val="18"/>
          <w:lang w:val="en-US"/>
        </w:rPr>
        <w:t>ing</w:t>
      </w:r>
      <w:r w:rsidR="00EC6917" w:rsidRPr="00D13B3A">
        <w:rPr>
          <w:sz w:val="18"/>
          <w:szCs w:val="18"/>
          <w:lang w:val="en-US"/>
        </w:rPr>
        <w:t>d</w:t>
      </w:r>
      <w:r w:rsidR="00B41B7C" w:rsidRPr="00D13B3A">
        <w:rPr>
          <w:sz w:val="18"/>
          <w:szCs w:val="18"/>
          <w:lang w:val="en-US"/>
        </w:rPr>
        <w:t>om (UK)</w:t>
      </w:r>
      <w:r w:rsidR="001703BF" w:rsidRPr="00D13B3A">
        <w:rPr>
          <w:sz w:val="18"/>
          <w:szCs w:val="18"/>
          <w:lang w:val="en-US"/>
        </w:rPr>
        <w:t xml:space="preserve">, and </w:t>
      </w:r>
      <w:r w:rsidR="00EA252C" w:rsidRPr="00D13B3A">
        <w:rPr>
          <w:sz w:val="18"/>
          <w:szCs w:val="18"/>
          <w:lang w:val="en-US"/>
        </w:rPr>
        <w:t xml:space="preserve">the </w:t>
      </w:r>
      <w:r w:rsidR="001703BF" w:rsidRPr="00D13B3A">
        <w:rPr>
          <w:sz w:val="18"/>
          <w:szCs w:val="18"/>
          <w:lang w:val="en-US"/>
        </w:rPr>
        <w:t xml:space="preserve">US. Other </w:t>
      </w:r>
      <w:r w:rsidR="00866DEF" w:rsidRPr="00D13B3A">
        <w:rPr>
          <w:sz w:val="18"/>
          <w:szCs w:val="18"/>
          <w:lang w:val="en-US"/>
        </w:rPr>
        <w:t xml:space="preserve">developed </w:t>
      </w:r>
      <w:r w:rsidR="001703BF" w:rsidRPr="00D13B3A">
        <w:rPr>
          <w:sz w:val="18"/>
          <w:szCs w:val="18"/>
          <w:lang w:val="en-US"/>
        </w:rPr>
        <w:t>countries are also depicted in the right-handed graph</w:t>
      </w:r>
      <w:r w:rsidR="00EA252C" w:rsidRPr="00D13B3A">
        <w:rPr>
          <w:sz w:val="18"/>
          <w:szCs w:val="18"/>
          <w:lang w:val="en-US"/>
        </w:rPr>
        <w:t>,</w:t>
      </w:r>
      <w:r w:rsidR="001703BF" w:rsidRPr="00D13B3A">
        <w:rPr>
          <w:sz w:val="18"/>
          <w:szCs w:val="18"/>
          <w:lang w:val="en-US"/>
        </w:rPr>
        <w:t xml:space="preserve"> for comparison, namely</w:t>
      </w:r>
      <w:r w:rsidR="00866DEF" w:rsidRPr="00D13B3A">
        <w:rPr>
          <w:sz w:val="18"/>
          <w:szCs w:val="18"/>
          <w:lang w:val="en-US"/>
        </w:rPr>
        <w:t>:</w:t>
      </w:r>
      <w:r w:rsidR="001703BF" w:rsidRPr="00D13B3A">
        <w:rPr>
          <w:sz w:val="18"/>
          <w:szCs w:val="18"/>
          <w:lang w:val="en-US"/>
        </w:rPr>
        <w:t xml:space="preserve"> Australia, the Netherlands (NL), Spain, and Switzerland (CH). The</w:t>
      </w:r>
      <w:r w:rsidR="00EB5A8C" w:rsidRPr="00D13B3A">
        <w:rPr>
          <w:sz w:val="18"/>
          <w:szCs w:val="18"/>
          <w:lang w:val="en-US"/>
        </w:rPr>
        <w:t xml:space="preserve"> </w:t>
      </w:r>
      <w:r w:rsidR="001703BF" w:rsidRPr="00D13B3A">
        <w:rPr>
          <w:sz w:val="18"/>
          <w:szCs w:val="18"/>
          <w:lang w:val="en-US"/>
        </w:rPr>
        <w:t xml:space="preserve">shares </w:t>
      </w:r>
      <w:r w:rsidR="00EB5A8C" w:rsidRPr="00D13B3A">
        <w:rPr>
          <w:sz w:val="18"/>
          <w:szCs w:val="18"/>
          <w:lang w:val="en-US"/>
        </w:rPr>
        <w:t xml:space="preserve">of these countries </w:t>
      </w:r>
      <w:r w:rsidR="001703BF" w:rsidRPr="00D13B3A">
        <w:rPr>
          <w:sz w:val="18"/>
          <w:szCs w:val="18"/>
          <w:lang w:val="en-US"/>
        </w:rPr>
        <w:t>also decrease</w:t>
      </w:r>
      <w:r w:rsidR="00EA252C" w:rsidRPr="00D13B3A">
        <w:rPr>
          <w:sz w:val="18"/>
          <w:szCs w:val="18"/>
          <w:lang w:val="en-US"/>
        </w:rPr>
        <w:t>d</w:t>
      </w:r>
      <w:r w:rsidR="001703BF" w:rsidRPr="00D13B3A">
        <w:rPr>
          <w:sz w:val="18"/>
          <w:szCs w:val="18"/>
          <w:lang w:val="en-US"/>
        </w:rPr>
        <w:t>.</w:t>
      </w:r>
    </w:p>
    <w:p w:rsidR="00471477" w:rsidRPr="00D13B3A" w:rsidRDefault="00471477" w:rsidP="006309C0">
      <w:pPr>
        <w:pStyle w:val="Corpodetexto"/>
        <w:spacing w:line="480" w:lineRule="auto"/>
        <w:ind w:firstLine="709"/>
        <w:rPr>
          <w:lang w:val="en-US"/>
        </w:rPr>
      </w:pPr>
    </w:p>
    <w:p w:rsidR="006A6126" w:rsidRPr="00D13B3A" w:rsidRDefault="004526D0" w:rsidP="006309C0">
      <w:pPr>
        <w:pStyle w:val="Corpodetexto"/>
        <w:spacing w:line="480" w:lineRule="auto"/>
        <w:ind w:firstLine="709"/>
        <w:rPr>
          <w:lang w:val="en-US"/>
        </w:rPr>
      </w:pPr>
      <w:r w:rsidRPr="00D13B3A">
        <w:rPr>
          <w:lang w:val="en-US"/>
        </w:rPr>
        <w:t>T</w:t>
      </w:r>
      <w:r w:rsidR="00A12241" w:rsidRPr="00D13B3A">
        <w:rPr>
          <w:lang w:val="en-US"/>
        </w:rPr>
        <w:t>h</w:t>
      </w:r>
      <w:r w:rsidRPr="00D13B3A">
        <w:rPr>
          <w:lang w:val="en-US"/>
        </w:rPr>
        <w:t>is</w:t>
      </w:r>
      <w:r w:rsidR="00A12241" w:rsidRPr="00D13B3A">
        <w:rPr>
          <w:lang w:val="en-US"/>
        </w:rPr>
        <w:t xml:space="preserve"> </w:t>
      </w:r>
      <w:r w:rsidR="00CF2642" w:rsidRPr="00D13B3A">
        <w:rPr>
          <w:lang w:val="en-US"/>
        </w:rPr>
        <w:t xml:space="preserve">major change in the location of </w:t>
      </w:r>
      <w:r w:rsidR="00A12241" w:rsidRPr="00D13B3A">
        <w:rPr>
          <w:lang w:val="en-US" w:eastAsia="en-US"/>
        </w:rPr>
        <w:t xml:space="preserve">manufacturing </w:t>
      </w:r>
      <w:r w:rsidR="006A6126" w:rsidRPr="00D13B3A">
        <w:rPr>
          <w:lang w:val="en-US" w:eastAsia="en-US"/>
        </w:rPr>
        <w:t xml:space="preserve">had </w:t>
      </w:r>
      <w:r w:rsidR="00A12241" w:rsidRPr="00D13B3A">
        <w:rPr>
          <w:lang w:val="en-US" w:eastAsia="en-US"/>
        </w:rPr>
        <w:t xml:space="preserve">a strong </w:t>
      </w:r>
      <w:r w:rsidR="00A12241" w:rsidRPr="00D13B3A">
        <w:rPr>
          <w:lang w:val="en-US"/>
        </w:rPr>
        <w:t>focus on Asia</w:t>
      </w:r>
      <w:r w:rsidR="00E03850" w:rsidRPr="00D13B3A">
        <w:rPr>
          <w:rStyle w:val="Refdenotaderodap"/>
          <w:sz w:val="22"/>
          <w:szCs w:val="22"/>
          <w:lang w:val="en-US"/>
        </w:rPr>
        <w:footnoteReference w:id="7"/>
      </w:r>
      <w:r w:rsidR="00A864BC" w:rsidRPr="00D13B3A">
        <w:rPr>
          <w:lang w:val="en-US"/>
        </w:rPr>
        <w:t xml:space="preserve">. </w:t>
      </w:r>
      <w:r w:rsidR="0012233E">
        <w:fldChar w:fldCharType="begin"/>
      </w:r>
      <w:r w:rsidR="0012233E">
        <w:instrText xml:space="preserve"> REF _Ref356895847 \h  \* MERGEFORMAT </w:instrText>
      </w:r>
      <w:r w:rsidR="0012233E">
        <w:fldChar w:fldCharType="separate"/>
      </w:r>
      <w:r w:rsidR="00DE6A26" w:rsidRPr="00DE6A26">
        <w:rPr>
          <w:lang w:val="en-US"/>
        </w:rPr>
        <w:t>Figure 5</w:t>
      </w:r>
      <w:r w:rsidR="0012233E">
        <w:fldChar w:fldCharType="end"/>
      </w:r>
      <w:r w:rsidR="00A12241" w:rsidRPr="00D13B3A">
        <w:rPr>
          <w:lang w:val="en-US"/>
        </w:rPr>
        <w:t xml:space="preserve"> below</w:t>
      </w:r>
      <w:r w:rsidR="00A864BC" w:rsidRPr="00D13B3A">
        <w:rPr>
          <w:lang w:val="en-US"/>
        </w:rPr>
        <w:t xml:space="preserve"> shows in red those countries where the annual growth in manufacturing-GDP was at least 5 to 10 percentage points higher than the world’s average between 1995 and 2007</w:t>
      </w:r>
      <w:r w:rsidR="00A12241" w:rsidRPr="00D13B3A">
        <w:rPr>
          <w:lang w:val="en-US"/>
        </w:rPr>
        <w:t xml:space="preserve">. </w:t>
      </w:r>
      <w:r w:rsidR="00A864BC" w:rsidRPr="00D13B3A">
        <w:rPr>
          <w:lang w:val="en-US"/>
        </w:rPr>
        <w:t xml:space="preserve">Almost all of them were Asian countries. Particularly, East Asia was the only region in the world where, in addition to the co-existence of structural macroeconomic </w:t>
      </w:r>
      <w:r w:rsidR="00A864BC" w:rsidRPr="00D13B3A">
        <w:rPr>
          <w:lang w:val="en-US"/>
        </w:rPr>
        <w:lastRenderedPageBreak/>
        <w:t xml:space="preserve">and microeconomic factors that promoted its productive integration, public institutions actively reinforced the necessary conditions for the promotion of the international fragmentation of production (see Medeiros, 2010). </w:t>
      </w:r>
      <w:r w:rsidR="004C1F59" w:rsidRPr="00D13B3A">
        <w:rPr>
          <w:lang w:val="en-US"/>
        </w:rPr>
        <w:t>T</w:t>
      </w:r>
      <w:r w:rsidR="00E03850" w:rsidRPr="00D13B3A">
        <w:rPr>
          <w:lang w:val="en-US"/>
        </w:rPr>
        <w:t xml:space="preserve">he </w:t>
      </w:r>
      <w:r w:rsidR="003D053B" w:rsidRPr="00D13B3A">
        <w:rPr>
          <w:lang w:val="en-US"/>
        </w:rPr>
        <w:t>Asian Development Bank (</w:t>
      </w:r>
      <w:r w:rsidR="00E03850" w:rsidRPr="00D13B3A">
        <w:rPr>
          <w:lang w:val="en-US"/>
        </w:rPr>
        <w:t>ADB</w:t>
      </w:r>
      <w:r w:rsidR="003D053B" w:rsidRPr="00D13B3A">
        <w:rPr>
          <w:lang w:val="en-US"/>
        </w:rPr>
        <w:t>)</w:t>
      </w:r>
      <w:r w:rsidR="00E03850" w:rsidRPr="00D13B3A">
        <w:rPr>
          <w:lang w:val="en-US"/>
        </w:rPr>
        <w:t xml:space="preserve"> designated </w:t>
      </w:r>
      <w:r w:rsidR="00F00FD7" w:rsidRPr="00D13B3A">
        <w:rPr>
          <w:lang w:val="en-US"/>
        </w:rPr>
        <w:t xml:space="preserve">this </w:t>
      </w:r>
      <w:r w:rsidR="00E03850" w:rsidRPr="00D13B3A">
        <w:rPr>
          <w:lang w:val="en-US"/>
        </w:rPr>
        <w:t xml:space="preserve">region as “Factory Asia”. </w:t>
      </w:r>
      <w:r w:rsidR="004C1F59" w:rsidRPr="00D13B3A">
        <w:rPr>
          <w:lang w:val="en-US"/>
        </w:rPr>
        <w:t>Empirical data supported</w:t>
      </w:r>
      <w:r w:rsidR="006A6126" w:rsidRPr="00D13B3A">
        <w:rPr>
          <w:lang w:val="en-US"/>
        </w:rPr>
        <w:t xml:space="preserve"> this statement</w:t>
      </w:r>
      <w:r w:rsidR="00A864BC" w:rsidRPr="00D13B3A">
        <w:rPr>
          <w:lang w:val="en-US"/>
        </w:rPr>
        <w:t>:</w:t>
      </w:r>
      <w:r w:rsidR="006A6126" w:rsidRPr="00D13B3A">
        <w:rPr>
          <w:lang w:val="en-US"/>
        </w:rPr>
        <w:t xml:space="preserve"> </w:t>
      </w:r>
      <w:r w:rsidR="00A864BC" w:rsidRPr="00D13B3A">
        <w:rPr>
          <w:lang w:val="en-US"/>
        </w:rPr>
        <w:t xml:space="preserve">e.g. </w:t>
      </w:r>
      <w:r w:rsidR="007A7D99" w:rsidRPr="00D13B3A">
        <w:rPr>
          <w:lang w:val="en-US"/>
        </w:rPr>
        <w:t xml:space="preserve">first, </w:t>
      </w:r>
      <w:r w:rsidR="006A6126" w:rsidRPr="00D13B3A">
        <w:rPr>
          <w:lang w:val="en-US"/>
        </w:rPr>
        <w:t xml:space="preserve">the foreign content in exports of electronic goods in the PRC and in South Korea, the world’s largest exporters in this sector, was nearly 40% in 2009, according to OECD </w:t>
      </w:r>
      <w:r w:rsidR="00A722DD">
        <w:rPr>
          <w:lang w:val="en-US"/>
        </w:rPr>
        <w:t>&amp;</w:t>
      </w:r>
      <w:r w:rsidR="006A6126" w:rsidRPr="00D13B3A">
        <w:rPr>
          <w:lang w:val="en-US"/>
        </w:rPr>
        <w:t xml:space="preserve"> WTO (2013)</w:t>
      </w:r>
      <w:r w:rsidR="007A7D99" w:rsidRPr="00D13B3A">
        <w:rPr>
          <w:lang w:val="en-US"/>
        </w:rPr>
        <w:t>; second, the weight of imported parts and components in total PRC exports of manufactured goods represented nearly 70% in 2005 (</w:t>
      </w:r>
      <w:proofErr w:type="spellStart"/>
      <w:r w:rsidR="007A7D99" w:rsidRPr="00D13B3A">
        <w:rPr>
          <w:lang w:val="en-US"/>
        </w:rPr>
        <w:t>Mirodout</w:t>
      </w:r>
      <w:proofErr w:type="spellEnd"/>
      <w:r w:rsidR="007A7D99" w:rsidRPr="00D13B3A">
        <w:rPr>
          <w:lang w:val="en-US"/>
        </w:rPr>
        <w:t xml:space="preserve"> et al, 2009)</w:t>
      </w:r>
      <w:r w:rsidR="006A6126" w:rsidRPr="00D13B3A">
        <w:rPr>
          <w:lang w:val="en-US"/>
        </w:rPr>
        <w:t xml:space="preserve">. For comparative purposes, we present </w:t>
      </w:r>
      <w:r w:rsidR="004C1F59" w:rsidRPr="00D13B3A">
        <w:rPr>
          <w:lang w:val="en-US"/>
        </w:rPr>
        <w:t xml:space="preserve">now </w:t>
      </w:r>
      <w:r w:rsidR="00A864BC" w:rsidRPr="00D13B3A">
        <w:rPr>
          <w:lang w:val="en-US"/>
        </w:rPr>
        <w:t>(in footnotes) list</w:t>
      </w:r>
      <w:r w:rsidR="00C900E0">
        <w:rPr>
          <w:lang w:val="en-US"/>
        </w:rPr>
        <w:t>s</w:t>
      </w:r>
      <w:r w:rsidR="00A864BC" w:rsidRPr="00D13B3A">
        <w:rPr>
          <w:lang w:val="en-US"/>
        </w:rPr>
        <w:t xml:space="preserve"> of </w:t>
      </w:r>
      <w:r w:rsidR="006A6126" w:rsidRPr="00D13B3A">
        <w:rPr>
          <w:lang w:val="en-US"/>
        </w:rPr>
        <w:t>the main empirical studies carried out in other regions</w:t>
      </w:r>
      <w:r w:rsidR="00A864BC" w:rsidRPr="00D13B3A">
        <w:rPr>
          <w:lang w:val="en-US"/>
        </w:rPr>
        <w:t xml:space="preserve"> of the world</w:t>
      </w:r>
      <w:r w:rsidR="006A6126" w:rsidRPr="00D13B3A">
        <w:rPr>
          <w:lang w:val="en-US"/>
        </w:rPr>
        <w:t xml:space="preserve">, namely in </w:t>
      </w:r>
      <w:r w:rsidR="004C1F59" w:rsidRPr="00D13B3A">
        <w:rPr>
          <w:lang w:val="en-US"/>
        </w:rPr>
        <w:t xml:space="preserve">the </w:t>
      </w:r>
      <w:r w:rsidR="00AF0F7E" w:rsidRPr="00D13B3A">
        <w:rPr>
          <w:lang w:val="en-US"/>
        </w:rPr>
        <w:t>OECD countries</w:t>
      </w:r>
      <w:r w:rsidR="00AF0F7E" w:rsidRPr="00D13B3A">
        <w:rPr>
          <w:rStyle w:val="Refdenotaderodap"/>
          <w:sz w:val="22"/>
          <w:szCs w:val="22"/>
          <w:lang w:val="en-US"/>
        </w:rPr>
        <w:footnoteReference w:id="8"/>
      </w:r>
      <w:r w:rsidR="00AF0F7E" w:rsidRPr="00D13B3A">
        <w:rPr>
          <w:lang w:val="en-US"/>
        </w:rPr>
        <w:t>, North America</w:t>
      </w:r>
      <w:r w:rsidR="00AF0F7E" w:rsidRPr="00D13B3A">
        <w:rPr>
          <w:rStyle w:val="Refdenotaderodap"/>
          <w:sz w:val="22"/>
          <w:szCs w:val="22"/>
          <w:lang w:val="en-US"/>
        </w:rPr>
        <w:footnoteReference w:id="9"/>
      </w:r>
      <w:r w:rsidR="00AF0F7E" w:rsidRPr="00D13B3A">
        <w:rPr>
          <w:lang w:val="en-US"/>
        </w:rPr>
        <w:t>, Mercosur</w:t>
      </w:r>
      <w:r w:rsidR="00AF0F7E" w:rsidRPr="00D13B3A">
        <w:rPr>
          <w:rStyle w:val="Refdenotaderodap"/>
          <w:sz w:val="22"/>
          <w:szCs w:val="22"/>
          <w:lang w:val="en-US"/>
        </w:rPr>
        <w:footnoteReference w:id="10"/>
      </w:r>
      <w:r w:rsidR="00AF0F7E" w:rsidRPr="00D13B3A">
        <w:rPr>
          <w:lang w:val="en-US"/>
        </w:rPr>
        <w:t xml:space="preserve"> and the European Union (EU)</w:t>
      </w:r>
      <w:r w:rsidR="00AF0F7E" w:rsidRPr="00D13B3A">
        <w:rPr>
          <w:rStyle w:val="Refdenotaderodap"/>
          <w:sz w:val="22"/>
          <w:szCs w:val="22"/>
          <w:lang w:val="en-US"/>
        </w:rPr>
        <w:footnoteReference w:id="11"/>
      </w:r>
      <w:r w:rsidR="00AF0F7E" w:rsidRPr="00D13B3A">
        <w:rPr>
          <w:lang w:val="en-US"/>
        </w:rPr>
        <w:t>.</w:t>
      </w:r>
    </w:p>
    <w:p w:rsidR="001F5E74" w:rsidRPr="00D13B3A" w:rsidRDefault="001F5E74" w:rsidP="00F930D8">
      <w:pPr>
        <w:pStyle w:val="Figure"/>
        <w:rPr>
          <w:lang w:eastAsia="en-US"/>
        </w:rPr>
      </w:pPr>
      <w:bookmarkStart w:id="22" w:name="_Ref356895847"/>
      <w:bookmarkStart w:id="23" w:name="_Toc357173257"/>
      <w:bookmarkStart w:id="24" w:name="_Toc438749254"/>
      <w:bookmarkStart w:id="25" w:name="_Toc494032890"/>
      <w:r w:rsidRPr="00D13B3A">
        <w:t xml:space="preserve">Figure </w:t>
      </w:r>
      <w:r w:rsidR="00E27028" w:rsidRPr="00D13B3A">
        <w:fldChar w:fldCharType="begin"/>
      </w:r>
      <w:r w:rsidRPr="00D13B3A">
        <w:instrText xml:space="preserve"> SEQ Figure \* ARABIC </w:instrText>
      </w:r>
      <w:r w:rsidR="00E27028" w:rsidRPr="00D13B3A">
        <w:fldChar w:fldCharType="separate"/>
      </w:r>
      <w:r w:rsidR="00DE6A26">
        <w:rPr>
          <w:noProof/>
        </w:rPr>
        <w:t>5</w:t>
      </w:r>
      <w:r w:rsidR="00E27028" w:rsidRPr="00D13B3A">
        <w:fldChar w:fldCharType="end"/>
      </w:r>
      <w:bookmarkEnd w:id="22"/>
      <w:r w:rsidR="00F930D8" w:rsidRPr="00D13B3A">
        <w:t xml:space="preserve"> - </w:t>
      </w:r>
      <w:r w:rsidRPr="00D13B3A">
        <w:rPr>
          <w:lang w:eastAsia="en-US"/>
        </w:rPr>
        <w:t xml:space="preserve">Geographic </w:t>
      </w:r>
      <w:r w:rsidR="00AF0F7E" w:rsidRPr="00D13B3A">
        <w:rPr>
          <w:lang w:eastAsia="en-US"/>
        </w:rPr>
        <w:t>c</w:t>
      </w:r>
      <w:r w:rsidRPr="00D13B3A">
        <w:rPr>
          <w:lang w:eastAsia="en-US"/>
        </w:rPr>
        <w:t xml:space="preserve">lustering of </w:t>
      </w:r>
      <w:r w:rsidR="00AF0F7E" w:rsidRPr="00D13B3A">
        <w:rPr>
          <w:lang w:eastAsia="en-US"/>
        </w:rPr>
        <w:t>g</w:t>
      </w:r>
      <w:r w:rsidRPr="00D13B3A">
        <w:rPr>
          <w:lang w:eastAsia="en-US"/>
        </w:rPr>
        <w:t>rowth</w:t>
      </w:r>
      <w:bookmarkEnd w:id="23"/>
      <w:bookmarkEnd w:id="24"/>
      <w:r w:rsidR="006128DD" w:rsidRPr="00D13B3A">
        <w:rPr>
          <w:lang w:eastAsia="en-US"/>
        </w:rPr>
        <w:t xml:space="preserve"> </w:t>
      </w:r>
      <w:r w:rsidR="00AF0F7E" w:rsidRPr="00D13B3A">
        <w:rPr>
          <w:lang w:eastAsia="en-US"/>
        </w:rPr>
        <w:t xml:space="preserve">in manufactures </w:t>
      </w:r>
      <w:r w:rsidR="006128DD" w:rsidRPr="00D13B3A">
        <w:rPr>
          <w:lang w:eastAsia="en-US"/>
        </w:rPr>
        <w:t>(annual manufacturing</w:t>
      </w:r>
      <w:r w:rsidR="00AF0F7E" w:rsidRPr="00D13B3A">
        <w:rPr>
          <w:lang w:eastAsia="en-US"/>
        </w:rPr>
        <w:t>-</w:t>
      </w:r>
      <w:r w:rsidR="006128DD" w:rsidRPr="00D13B3A">
        <w:rPr>
          <w:lang w:eastAsia="en-US"/>
        </w:rPr>
        <w:t xml:space="preserve">GDP growth </w:t>
      </w:r>
      <w:r w:rsidR="00AF0F7E" w:rsidRPr="00D13B3A">
        <w:rPr>
          <w:lang w:eastAsia="en-US"/>
        </w:rPr>
        <w:t xml:space="preserve">compared to the </w:t>
      </w:r>
      <w:r w:rsidR="006128DD" w:rsidRPr="00D13B3A">
        <w:rPr>
          <w:lang w:eastAsia="en-US"/>
        </w:rPr>
        <w:t>world</w:t>
      </w:r>
      <w:r w:rsidR="00AF0F7E" w:rsidRPr="00D13B3A">
        <w:rPr>
          <w:lang w:eastAsia="en-US"/>
        </w:rPr>
        <w:t>'s</w:t>
      </w:r>
      <w:r w:rsidR="006128DD" w:rsidRPr="00D13B3A">
        <w:rPr>
          <w:lang w:eastAsia="en-US"/>
        </w:rPr>
        <w:t xml:space="preserve"> average, from 1995 to 2007)</w:t>
      </w:r>
      <w:bookmarkEnd w:id="25"/>
    </w:p>
    <w:tbl>
      <w:tblPr>
        <w:tblStyle w:val="TabelacomGrelha"/>
        <w:tblW w:w="0" w:type="auto"/>
        <w:tblLook w:val="04A0" w:firstRow="1" w:lastRow="0" w:firstColumn="1" w:lastColumn="0" w:noHBand="0" w:noVBand="1"/>
      </w:tblPr>
      <w:tblGrid>
        <w:gridCol w:w="8494"/>
      </w:tblGrid>
      <w:tr w:rsidR="006128DD" w:rsidRPr="00D13B3A" w:rsidTr="006128DD">
        <w:tc>
          <w:tcPr>
            <w:tcW w:w="8644" w:type="dxa"/>
          </w:tcPr>
          <w:p w:rsidR="006128DD" w:rsidRPr="00D13B3A" w:rsidRDefault="006128DD" w:rsidP="006128DD">
            <w:pPr>
              <w:rPr>
                <w:lang w:val="en-US" w:eastAsia="en-US"/>
              </w:rPr>
            </w:pPr>
            <w:r w:rsidRPr="00D13B3A">
              <w:rPr>
                <w:noProof/>
                <w:lang w:val="pt-PT"/>
              </w:rPr>
              <w:lastRenderedPageBreak/>
              <w:drawing>
                <wp:inline distT="0" distB="0" distL="0" distR="0">
                  <wp:extent cx="5407665" cy="228898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14220" cy="2291763"/>
                          </a:xfrm>
                          <a:prstGeom prst="rect">
                            <a:avLst/>
                          </a:prstGeom>
                        </pic:spPr>
                      </pic:pic>
                    </a:graphicData>
                  </a:graphic>
                </wp:inline>
              </w:drawing>
            </w:r>
          </w:p>
        </w:tc>
      </w:tr>
    </w:tbl>
    <w:p w:rsidR="001F5E74" w:rsidRDefault="001F5E74" w:rsidP="00A864BC">
      <w:pPr>
        <w:pStyle w:val="Corpodetexto"/>
        <w:spacing w:before="240" w:after="120" w:line="240" w:lineRule="auto"/>
        <w:jc w:val="center"/>
        <w:rPr>
          <w:sz w:val="20"/>
          <w:szCs w:val="20"/>
          <w:lang w:val="en-US"/>
        </w:rPr>
      </w:pPr>
      <w:r w:rsidRPr="00D13B3A">
        <w:rPr>
          <w:sz w:val="20"/>
          <w:szCs w:val="20"/>
          <w:lang w:val="en-US"/>
        </w:rPr>
        <w:t xml:space="preserve">Source: </w:t>
      </w:r>
      <w:r w:rsidR="00994C52" w:rsidRPr="00D13B3A">
        <w:rPr>
          <w:sz w:val="20"/>
          <w:szCs w:val="20"/>
          <w:lang w:val="en-US"/>
        </w:rPr>
        <w:t>Baldwin &amp; Lopez-Gonzalez</w:t>
      </w:r>
      <w:r w:rsidRPr="00D13B3A">
        <w:rPr>
          <w:sz w:val="20"/>
          <w:szCs w:val="20"/>
          <w:lang w:val="en-US"/>
        </w:rPr>
        <w:t xml:space="preserve"> (201</w:t>
      </w:r>
      <w:r w:rsidR="00D035BD" w:rsidRPr="00D13B3A">
        <w:rPr>
          <w:sz w:val="20"/>
          <w:szCs w:val="20"/>
          <w:lang w:val="en-US"/>
        </w:rPr>
        <w:t>5</w:t>
      </w:r>
      <w:r w:rsidRPr="00D13B3A">
        <w:rPr>
          <w:sz w:val="20"/>
          <w:szCs w:val="20"/>
          <w:lang w:val="en-US"/>
        </w:rPr>
        <w:t>).</w:t>
      </w:r>
      <w:r w:rsidR="006128DD" w:rsidRPr="00D13B3A">
        <w:rPr>
          <w:sz w:val="20"/>
          <w:szCs w:val="20"/>
          <w:lang w:val="en-US"/>
        </w:rPr>
        <w:t xml:space="preserve"> </w:t>
      </w:r>
      <w:r w:rsidR="00A864BC" w:rsidRPr="00D13B3A">
        <w:rPr>
          <w:sz w:val="20"/>
          <w:szCs w:val="20"/>
          <w:lang w:val="en-US"/>
        </w:rPr>
        <w:t xml:space="preserve">The assessment only covers economies with more </w:t>
      </w:r>
      <w:r w:rsidR="006128DD" w:rsidRPr="00D13B3A">
        <w:rPr>
          <w:sz w:val="20"/>
          <w:szCs w:val="20"/>
          <w:lang w:val="en-US"/>
        </w:rPr>
        <w:t>than 10 million inhabitants</w:t>
      </w:r>
      <w:r w:rsidR="00A864BC" w:rsidRPr="00D13B3A">
        <w:rPr>
          <w:sz w:val="20"/>
          <w:szCs w:val="20"/>
          <w:lang w:val="en-US"/>
        </w:rPr>
        <w:t xml:space="preserve"> and </w:t>
      </w:r>
      <w:r w:rsidR="006128DD" w:rsidRPr="00D13B3A">
        <w:rPr>
          <w:sz w:val="20"/>
          <w:szCs w:val="20"/>
          <w:lang w:val="en-US"/>
        </w:rPr>
        <w:t xml:space="preserve">minimally </w:t>
      </w:r>
      <w:r w:rsidR="00FE50E9" w:rsidRPr="00D13B3A">
        <w:rPr>
          <w:sz w:val="20"/>
          <w:szCs w:val="20"/>
          <w:lang w:val="en-US"/>
        </w:rPr>
        <w:t>industrialized</w:t>
      </w:r>
      <w:r w:rsidR="006128DD" w:rsidRPr="00D13B3A">
        <w:rPr>
          <w:sz w:val="20"/>
          <w:szCs w:val="20"/>
          <w:lang w:val="en-US"/>
        </w:rPr>
        <w:t xml:space="preserve"> (</w:t>
      </w:r>
      <w:r w:rsidR="004C1F59" w:rsidRPr="00D13B3A">
        <w:rPr>
          <w:sz w:val="20"/>
          <w:szCs w:val="20"/>
          <w:lang w:val="en-US"/>
        </w:rPr>
        <w:t xml:space="preserve">share of </w:t>
      </w:r>
      <w:r w:rsidR="006128DD" w:rsidRPr="00D13B3A">
        <w:rPr>
          <w:sz w:val="20"/>
          <w:szCs w:val="20"/>
          <w:lang w:val="en-US"/>
        </w:rPr>
        <w:t>manufacturing</w:t>
      </w:r>
      <w:r w:rsidR="00A864BC" w:rsidRPr="00D13B3A">
        <w:rPr>
          <w:sz w:val="20"/>
          <w:szCs w:val="20"/>
          <w:lang w:val="en-US"/>
        </w:rPr>
        <w:t>-</w:t>
      </w:r>
      <w:r w:rsidR="006128DD" w:rsidRPr="00D13B3A">
        <w:rPr>
          <w:sz w:val="20"/>
          <w:szCs w:val="20"/>
          <w:lang w:val="en-US"/>
        </w:rPr>
        <w:t xml:space="preserve">GDP </w:t>
      </w:r>
      <w:r w:rsidR="004C1F59" w:rsidRPr="00D13B3A">
        <w:rPr>
          <w:sz w:val="20"/>
          <w:szCs w:val="20"/>
          <w:lang w:val="en-US"/>
        </w:rPr>
        <w:t xml:space="preserve">at least </w:t>
      </w:r>
      <w:r w:rsidR="006128DD" w:rsidRPr="00D13B3A">
        <w:rPr>
          <w:sz w:val="20"/>
          <w:szCs w:val="20"/>
          <w:lang w:val="en-US"/>
        </w:rPr>
        <w:t>as big as Kenya</w:t>
      </w:r>
      <w:r w:rsidR="00A864BC" w:rsidRPr="00D13B3A">
        <w:rPr>
          <w:sz w:val="20"/>
          <w:szCs w:val="20"/>
          <w:lang w:val="en-US"/>
        </w:rPr>
        <w:t>’</w:t>
      </w:r>
      <w:r w:rsidR="006128DD" w:rsidRPr="00D13B3A">
        <w:rPr>
          <w:sz w:val="20"/>
          <w:szCs w:val="20"/>
          <w:lang w:val="en-US"/>
        </w:rPr>
        <w:t>s).</w:t>
      </w:r>
    </w:p>
    <w:p w:rsidR="00C900E0" w:rsidRDefault="00C900E0" w:rsidP="00A864BC">
      <w:pPr>
        <w:pStyle w:val="Corpodetexto"/>
        <w:spacing w:before="240" w:after="120" w:line="240" w:lineRule="auto"/>
        <w:jc w:val="center"/>
        <w:rPr>
          <w:sz w:val="20"/>
          <w:szCs w:val="20"/>
          <w:lang w:val="en-US"/>
        </w:rPr>
      </w:pPr>
    </w:p>
    <w:p w:rsidR="00C900E0" w:rsidRPr="00D13B3A" w:rsidRDefault="00C900E0" w:rsidP="00A864BC">
      <w:pPr>
        <w:pStyle w:val="Corpodetexto"/>
        <w:spacing w:before="240" w:after="120" w:line="240" w:lineRule="auto"/>
        <w:jc w:val="center"/>
        <w:rPr>
          <w:sz w:val="20"/>
          <w:szCs w:val="20"/>
          <w:lang w:val="en-US"/>
        </w:rPr>
      </w:pPr>
    </w:p>
    <w:p w:rsidR="00655504" w:rsidRPr="00790507" w:rsidRDefault="00655504" w:rsidP="00400F32">
      <w:pPr>
        <w:pStyle w:val="Corpodetexto"/>
        <w:keepNext/>
        <w:widowControl w:val="0"/>
        <w:spacing w:line="480" w:lineRule="auto"/>
        <w:ind w:firstLine="709"/>
        <w:rPr>
          <w:sz w:val="2"/>
          <w:szCs w:val="2"/>
          <w:lang w:val="en-US"/>
        </w:rPr>
      </w:pPr>
    </w:p>
    <w:p w:rsidR="00242992" w:rsidRPr="00D13B3A" w:rsidRDefault="00242992" w:rsidP="00400F32">
      <w:pPr>
        <w:pStyle w:val="Corpodetexto"/>
        <w:keepNext/>
        <w:widowControl w:val="0"/>
        <w:spacing w:line="480" w:lineRule="auto"/>
        <w:ind w:firstLine="708"/>
        <w:rPr>
          <w:lang w:val="en-US"/>
        </w:rPr>
      </w:pPr>
      <w:r w:rsidRPr="00D13B3A">
        <w:rPr>
          <w:lang w:val="en-US"/>
        </w:rPr>
        <w:t>Third, trade poli</w:t>
      </w:r>
      <w:r w:rsidR="00F9005B" w:rsidRPr="00D13B3A">
        <w:rPr>
          <w:lang w:val="en-US"/>
        </w:rPr>
        <w:t xml:space="preserve">cies </w:t>
      </w:r>
      <w:r w:rsidR="00C51B2D" w:rsidRPr="00D13B3A">
        <w:rPr>
          <w:lang w:val="en-US"/>
        </w:rPr>
        <w:t xml:space="preserve">became less relevant and </w:t>
      </w:r>
      <w:r w:rsidR="00F9005B" w:rsidRPr="00D13B3A">
        <w:rPr>
          <w:lang w:val="en-US"/>
        </w:rPr>
        <w:t>started changing</w:t>
      </w:r>
      <w:r w:rsidRPr="00D13B3A">
        <w:rPr>
          <w:lang w:val="en-US"/>
        </w:rPr>
        <w:t xml:space="preserve">. </w:t>
      </w:r>
      <w:r w:rsidR="00BF3F6F">
        <w:rPr>
          <w:lang w:val="en-US"/>
        </w:rPr>
        <w:t xml:space="preserve">Many </w:t>
      </w:r>
      <w:r w:rsidR="00731F17" w:rsidRPr="00D13B3A">
        <w:rPr>
          <w:lang w:val="en-US"/>
        </w:rPr>
        <w:t>d</w:t>
      </w:r>
      <w:r w:rsidRPr="00D13B3A">
        <w:rPr>
          <w:lang w:val="en-US"/>
        </w:rPr>
        <w:t xml:space="preserve">eveloping </w:t>
      </w:r>
      <w:r w:rsidR="00731F17" w:rsidRPr="00D13B3A">
        <w:rPr>
          <w:lang w:val="en-US"/>
        </w:rPr>
        <w:t xml:space="preserve">economies that </w:t>
      </w:r>
      <w:r w:rsidRPr="00D13B3A">
        <w:rPr>
          <w:lang w:val="en-US"/>
        </w:rPr>
        <w:t xml:space="preserve">had resisted to trade and investment liberalization until the end of the 1980s started to </w:t>
      </w:r>
      <w:r w:rsidR="00731F17" w:rsidRPr="00D13B3A">
        <w:rPr>
          <w:lang w:val="en-US"/>
        </w:rPr>
        <w:t xml:space="preserve">implement measures to integrate themselves into </w:t>
      </w:r>
      <w:r w:rsidRPr="00D13B3A">
        <w:rPr>
          <w:lang w:val="en-US"/>
        </w:rPr>
        <w:t>international production sharing</w:t>
      </w:r>
      <w:r w:rsidR="00731F17" w:rsidRPr="00D13B3A">
        <w:rPr>
          <w:lang w:val="en-US"/>
        </w:rPr>
        <w:t>.</w:t>
      </w:r>
      <w:r w:rsidRPr="00D13B3A">
        <w:rPr>
          <w:lang w:val="en-US"/>
        </w:rPr>
        <w:t xml:space="preserve"> </w:t>
      </w:r>
      <w:r w:rsidR="001F74B9" w:rsidRPr="00D13B3A">
        <w:rPr>
          <w:lang w:val="en-US"/>
        </w:rPr>
        <w:t>First, t</w:t>
      </w:r>
      <w:r w:rsidRPr="00D13B3A">
        <w:rPr>
          <w:lang w:val="en-US"/>
        </w:rPr>
        <w:t xml:space="preserve">ariffs were </w:t>
      </w:r>
      <w:r w:rsidR="00F9005B" w:rsidRPr="00D13B3A">
        <w:rPr>
          <w:lang w:val="en-US"/>
        </w:rPr>
        <w:t>reduced</w:t>
      </w:r>
      <w:r w:rsidRPr="00D13B3A">
        <w:rPr>
          <w:lang w:val="en-US"/>
        </w:rPr>
        <w:t xml:space="preserve"> unilaterally in all regions, </w:t>
      </w:r>
      <w:r w:rsidR="00731F17" w:rsidRPr="00D13B3A">
        <w:rPr>
          <w:lang w:val="en-US"/>
        </w:rPr>
        <w:t xml:space="preserve">and particularly in Asia, </w:t>
      </w:r>
      <w:r w:rsidRPr="00D13B3A">
        <w:rPr>
          <w:lang w:val="en-US"/>
        </w:rPr>
        <w:t xml:space="preserve">as shown in the left-handed graph in </w:t>
      </w:r>
      <w:r w:rsidR="0012233E">
        <w:fldChar w:fldCharType="begin"/>
      </w:r>
      <w:r w:rsidR="0012233E">
        <w:instrText xml:space="preserve"> REF _Ref356893760 \h  \* MERGEFORMAT </w:instrText>
      </w:r>
      <w:r w:rsidR="0012233E">
        <w:fldChar w:fldCharType="separate"/>
      </w:r>
      <w:r w:rsidR="00DE6A26" w:rsidRPr="00DE6A26">
        <w:rPr>
          <w:lang w:val="en-US"/>
        </w:rPr>
        <w:t>Figure</w:t>
      </w:r>
      <w:r w:rsidR="00DE6A26" w:rsidRPr="00DE6A26">
        <w:rPr>
          <w:smallCaps/>
          <w:lang w:val="en-US"/>
        </w:rPr>
        <w:t xml:space="preserve"> 6</w:t>
      </w:r>
      <w:r w:rsidR="0012233E">
        <w:fldChar w:fldCharType="end"/>
      </w:r>
      <w:r w:rsidRPr="00D13B3A">
        <w:rPr>
          <w:lang w:val="en-US"/>
        </w:rPr>
        <w:t xml:space="preserve"> below. </w:t>
      </w:r>
      <w:r w:rsidR="001F74B9" w:rsidRPr="00D13B3A">
        <w:rPr>
          <w:lang w:val="en-US"/>
        </w:rPr>
        <w:t xml:space="preserve">Second, pro-supply chain agreements blossomed, </w:t>
      </w:r>
      <w:r w:rsidR="00731F17" w:rsidRPr="00D13B3A">
        <w:rPr>
          <w:lang w:val="en-US"/>
        </w:rPr>
        <w:t xml:space="preserve">particularly unilateral concessions to attract investment from developed nations and </w:t>
      </w:r>
      <w:r w:rsidR="001F74B9" w:rsidRPr="00D13B3A">
        <w:rPr>
          <w:lang w:val="en-US"/>
        </w:rPr>
        <w:t xml:space="preserve">Bilateral Investment Treaties (BITs), as shown in the centered graph in </w:t>
      </w:r>
      <w:r w:rsidR="0012233E">
        <w:fldChar w:fldCharType="begin"/>
      </w:r>
      <w:r w:rsidR="0012233E">
        <w:instrText xml:space="preserve"> REF _Ref356893760 \h  \* MERGEFORMAT </w:instrText>
      </w:r>
      <w:r w:rsidR="0012233E">
        <w:fldChar w:fldCharType="separate"/>
      </w:r>
      <w:r w:rsidR="00DE6A26" w:rsidRPr="00DE6A26">
        <w:rPr>
          <w:lang w:val="en-US"/>
        </w:rPr>
        <w:t>Figure</w:t>
      </w:r>
      <w:r w:rsidR="00DE6A26" w:rsidRPr="00DE6A26">
        <w:rPr>
          <w:smallCaps/>
          <w:lang w:val="en-US"/>
        </w:rPr>
        <w:t xml:space="preserve"> 6</w:t>
      </w:r>
      <w:r w:rsidR="0012233E">
        <w:fldChar w:fldCharType="end"/>
      </w:r>
      <w:r w:rsidR="001F74B9" w:rsidRPr="00D13B3A">
        <w:rPr>
          <w:lang w:val="en-US"/>
        </w:rPr>
        <w:t xml:space="preserve">. </w:t>
      </w:r>
      <w:r w:rsidR="00731F17" w:rsidRPr="00D13B3A">
        <w:rPr>
          <w:lang w:val="en-US"/>
        </w:rPr>
        <w:t xml:space="preserve">Third, </w:t>
      </w:r>
      <w:r w:rsidR="00292631" w:rsidRPr="00D13B3A">
        <w:rPr>
          <w:lang w:val="en-US"/>
        </w:rPr>
        <w:t xml:space="preserve">annual </w:t>
      </w:r>
      <w:r w:rsidR="001F74B9" w:rsidRPr="00D13B3A">
        <w:rPr>
          <w:lang w:val="en-US"/>
        </w:rPr>
        <w:t xml:space="preserve">flows </w:t>
      </w:r>
      <w:r w:rsidR="00731F17" w:rsidRPr="00D13B3A">
        <w:rPr>
          <w:lang w:val="en-US"/>
        </w:rPr>
        <w:t xml:space="preserve">of FDI </w:t>
      </w:r>
      <w:r w:rsidR="001F74B9" w:rsidRPr="00D13B3A">
        <w:rPr>
          <w:lang w:val="en-US"/>
        </w:rPr>
        <w:t>increased from around USD 200 billion in 1988 to more than USD 2 trillion in 2007</w:t>
      </w:r>
      <w:r w:rsidR="00292631" w:rsidRPr="00D13B3A">
        <w:rPr>
          <w:lang w:val="en-US"/>
        </w:rPr>
        <w:t xml:space="preserve"> (see also centered graph)</w:t>
      </w:r>
      <w:r w:rsidR="001F74B9" w:rsidRPr="00D13B3A">
        <w:rPr>
          <w:lang w:val="en-US"/>
        </w:rPr>
        <w:t xml:space="preserve">. </w:t>
      </w:r>
      <w:r w:rsidR="00292631" w:rsidRPr="00D13B3A">
        <w:rPr>
          <w:lang w:val="en-US"/>
        </w:rPr>
        <w:t>Fourth</w:t>
      </w:r>
      <w:r w:rsidR="001F74B9" w:rsidRPr="00D13B3A">
        <w:rPr>
          <w:lang w:val="en-US"/>
        </w:rPr>
        <w:t xml:space="preserve">, the number of deep provisions in new Regional Trade Agreements (RTA) (such as competition policy, capital movements and assurances for intellectual property, which are pro-supply-chain) increased significantly in the first decade of the century (see right-handed graph in </w:t>
      </w:r>
      <w:r w:rsidR="0012233E">
        <w:fldChar w:fldCharType="begin"/>
      </w:r>
      <w:r w:rsidR="0012233E">
        <w:instrText xml:space="preserve"> REF _Ref356893760 \h  \* MERGEFORMAT </w:instrText>
      </w:r>
      <w:r w:rsidR="0012233E">
        <w:fldChar w:fldCharType="separate"/>
      </w:r>
      <w:r w:rsidR="00DE6A26" w:rsidRPr="00DE6A26">
        <w:rPr>
          <w:lang w:val="en-US"/>
        </w:rPr>
        <w:t>Figure</w:t>
      </w:r>
      <w:r w:rsidR="00DE6A26" w:rsidRPr="00DE6A26">
        <w:rPr>
          <w:smallCaps/>
          <w:lang w:val="en-US"/>
        </w:rPr>
        <w:t xml:space="preserve"> 6</w:t>
      </w:r>
      <w:r w:rsidR="0012233E">
        <w:fldChar w:fldCharType="end"/>
      </w:r>
      <w:r w:rsidR="001F74B9" w:rsidRPr="00D13B3A">
        <w:rPr>
          <w:lang w:val="en-US"/>
        </w:rPr>
        <w:t>).</w:t>
      </w:r>
      <w:r w:rsidR="00CB60F7" w:rsidRPr="00D13B3A">
        <w:rPr>
          <w:lang w:val="en-US"/>
        </w:rPr>
        <w:t xml:space="preserve"> </w:t>
      </w:r>
      <w:r w:rsidR="00292631" w:rsidRPr="00D13B3A">
        <w:rPr>
          <w:lang w:val="en-US"/>
        </w:rPr>
        <w:t xml:space="preserve">As stated by </w:t>
      </w:r>
      <w:proofErr w:type="spellStart"/>
      <w:r w:rsidR="00CB60F7" w:rsidRPr="00D13B3A">
        <w:rPr>
          <w:lang w:val="en-US"/>
        </w:rPr>
        <w:t>Flôres</w:t>
      </w:r>
      <w:proofErr w:type="spellEnd"/>
      <w:r w:rsidR="00CB60F7" w:rsidRPr="00D13B3A">
        <w:rPr>
          <w:lang w:val="en-US"/>
        </w:rPr>
        <w:t xml:space="preserve"> (2010)</w:t>
      </w:r>
      <w:r w:rsidR="00292631" w:rsidRPr="00D13B3A">
        <w:rPr>
          <w:lang w:val="en-US"/>
        </w:rPr>
        <w:t>,</w:t>
      </w:r>
      <w:r w:rsidR="00CB60F7" w:rsidRPr="00D13B3A">
        <w:rPr>
          <w:lang w:val="en-US"/>
        </w:rPr>
        <w:t xml:space="preserve"> «in a moment where trade negotiations have become so tight, </w:t>
      </w:r>
      <w:r w:rsidR="00790507">
        <w:rPr>
          <w:lang w:val="en-US"/>
        </w:rPr>
        <w:t xml:space="preserve">(…) </w:t>
      </w:r>
      <w:r w:rsidR="00CB60F7" w:rsidRPr="00D13B3A">
        <w:rPr>
          <w:lang w:val="en-US"/>
        </w:rPr>
        <w:t xml:space="preserve">deeper knowledge of how each economy is placed within the fragmentation </w:t>
      </w:r>
      <w:r w:rsidR="00CB60F7" w:rsidRPr="00D13B3A">
        <w:rPr>
          <w:lang w:val="en-US"/>
        </w:rPr>
        <w:lastRenderedPageBreak/>
        <w:t>context seems mandatory».</w:t>
      </w:r>
    </w:p>
    <w:p w:rsidR="00242992" w:rsidRPr="00D13B3A" w:rsidRDefault="00242992" w:rsidP="00F930D8">
      <w:pPr>
        <w:pStyle w:val="Figure"/>
      </w:pPr>
      <w:bookmarkStart w:id="26" w:name="_Ref356893760"/>
      <w:bookmarkStart w:id="27" w:name="_Toc357173255"/>
      <w:bookmarkStart w:id="28" w:name="_Toc438749252"/>
      <w:bookmarkStart w:id="29" w:name="_Toc494032891"/>
      <w:r w:rsidRPr="00D13B3A">
        <w:t xml:space="preserve">Figure </w:t>
      </w:r>
      <w:r w:rsidR="0012233E">
        <w:rPr>
          <w:noProof/>
        </w:rPr>
        <w:fldChar w:fldCharType="begin"/>
      </w:r>
      <w:r w:rsidR="0012233E">
        <w:rPr>
          <w:noProof/>
        </w:rPr>
        <w:instrText xml:space="preserve"> SEQ Figure \* ARABIC </w:instrText>
      </w:r>
      <w:r w:rsidR="0012233E">
        <w:rPr>
          <w:noProof/>
        </w:rPr>
        <w:fldChar w:fldCharType="separate"/>
      </w:r>
      <w:r w:rsidR="00DE6A26">
        <w:rPr>
          <w:noProof/>
        </w:rPr>
        <w:t>6</w:t>
      </w:r>
      <w:r w:rsidR="0012233E">
        <w:rPr>
          <w:noProof/>
        </w:rPr>
        <w:fldChar w:fldCharType="end"/>
      </w:r>
      <w:bookmarkEnd w:id="26"/>
      <w:r w:rsidR="00F930D8" w:rsidRPr="00D13B3A">
        <w:t xml:space="preserve"> - </w:t>
      </w:r>
      <w:r w:rsidRPr="00D13B3A">
        <w:t xml:space="preserve">Applied </w:t>
      </w:r>
      <w:r w:rsidR="00F9005B" w:rsidRPr="00D13B3A">
        <w:t>t</w:t>
      </w:r>
      <w:r w:rsidRPr="00D13B3A">
        <w:t xml:space="preserve">rade </w:t>
      </w:r>
      <w:r w:rsidR="00F9005B" w:rsidRPr="00D13B3A">
        <w:t>t</w:t>
      </w:r>
      <w:r w:rsidRPr="00D13B3A">
        <w:t>ariffs (</w:t>
      </w:r>
      <w:r w:rsidR="00F9005B" w:rsidRPr="00D13B3A">
        <w:t>l</w:t>
      </w:r>
      <w:r w:rsidRPr="00D13B3A">
        <w:t xml:space="preserve">eft), </w:t>
      </w:r>
      <w:r w:rsidR="00F9005B" w:rsidRPr="00D13B3A">
        <w:t>n</w:t>
      </w:r>
      <w:r w:rsidRPr="00D13B3A">
        <w:t xml:space="preserve">ew </w:t>
      </w:r>
      <w:r w:rsidR="001F74B9" w:rsidRPr="00D13B3A">
        <w:t>BITs</w:t>
      </w:r>
      <w:r w:rsidRPr="00D13B3A">
        <w:t xml:space="preserve"> </w:t>
      </w:r>
      <w:r w:rsidR="002269C3">
        <w:t xml:space="preserve">signed </w:t>
      </w:r>
      <w:r w:rsidRPr="00D13B3A">
        <w:t xml:space="preserve">and </w:t>
      </w:r>
      <w:r w:rsidR="001F74B9" w:rsidRPr="00D13B3A">
        <w:t xml:space="preserve">annual </w:t>
      </w:r>
      <w:r w:rsidRPr="00D13B3A">
        <w:t>FDI</w:t>
      </w:r>
      <w:r w:rsidR="001F74B9" w:rsidRPr="00D13B3A">
        <w:t xml:space="preserve"> flows</w:t>
      </w:r>
      <w:r w:rsidRPr="00D13B3A">
        <w:t xml:space="preserve"> (</w:t>
      </w:r>
      <w:r w:rsidR="00F9005B" w:rsidRPr="00D13B3A">
        <w:t>c</w:t>
      </w:r>
      <w:r w:rsidRPr="00D13B3A">
        <w:t xml:space="preserve">enter), and </w:t>
      </w:r>
      <w:bookmarkEnd w:id="27"/>
      <w:r w:rsidR="00F9005B" w:rsidRPr="00D13B3A">
        <w:t>n</w:t>
      </w:r>
      <w:r w:rsidRPr="00D13B3A">
        <w:t xml:space="preserve">umber of </w:t>
      </w:r>
      <w:r w:rsidR="00F9005B" w:rsidRPr="00D13B3A">
        <w:t>d</w:t>
      </w:r>
      <w:r w:rsidRPr="00D13B3A">
        <w:t xml:space="preserve">eep </w:t>
      </w:r>
      <w:r w:rsidR="00F9005B" w:rsidRPr="00D13B3A">
        <w:t>p</w:t>
      </w:r>
      <w:r w:rsidRPr="00D13B3A">
        <w:t xml:space="preserve">rovisions in </w:t>
      </w:r>
      <w:r w:rsidR="00F9005B" w:rsidRPr="00D13B3A">
        <w:t>n</w:t>
      </w:r>
      <w:r w:rsidRPr="00D13B3A">
        <w:t>ew RTAs</w:t>
      </w:r>
      <w:bookmarkEnd w:id="28"/>
      <w:r w:rsidRPr="00D13B3A">
        <w:t xml:space="preserve"> (</w:t>
      </w:r>
      <w:r w:rsidR="00F9005B" w:rsidRPr="00D13B3A">
        <w:t>r</w:t>
      </w:r>
      <w:r w:rsidRPr="00D13B3A">
        <w:t>ight)</w:t>
      </w:r>
      <w:bookmarkEnd w:id="29"/>
    </w:p>
    <w:p w:rsidR="00242992" w:rsidRPr="00D13B3A" w:rsidRDefault="00242992" w:rsidP="00242992">
      <w:pPr>
        <w:pStyle w:val="Corpodetexto"/>
        <w:rPr>
          <w:lang w:val="en-US"/>
        </w:rPr>
      </w:pPr>
      <w:r w:rsidRPr="00D13B3A">
        <w:rPr>
          <w:noProof/>
          <w:lang w:val="pt-PT"/>
        </w:rPr>
        <w:drawing>
          <wp:inline distT="0" distB="0" distL="0" distR="0">
            <wp:extent cx="5347565" cy="2097973"/>
            <wp:effectExtent l="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7565" cy="2097973"/>
                    </a:xfrm>
                    <a:prstGeom prst="rect">
                      <a:avLst/>
                    </a:prstGeom>
                    <a:noFill/>
                    <a:ln>
                      <a:noFill/>
                    </a:ln>
                  </pic:spPr>
                </pic:pic>
              </a:graphicData>
            </a:graphic>
          </wp:inline>
        </w:drawing>
      </w:r>
    </w:p>
    <w:p w:rsidR="00242992" w:rsidRPr="00D13B3A" w:rsidRDefault="00242992" w:rsidP="00731F17">
      <w:pPr>
        <w:pStyle w:val="Corpodetexto"/>
        <w:spacing w:before="120" w:after="240" w:line="240" w:lineRule="auto"/>
        <w:jc w:val="center"/>
        <w:rPr>
          <w:sz w:val="20"/>
          <w:szCs w:val="20"/>
          <w:lang w:val="en-US"/>
        </w:rPr>
      </w:pPr>
      <w:r w:rsidRPr="00D13B3A">
        <w:rPr>
          <w:sz w:val="20"/>
          <w:szCs w:val="20"/>
          <w:lang w:val="en-US"/>
        </w:rPr>
        <w:t>Source: Baldwin &amp; Lopez-Gonzalez (201</w:t>
      </w:r>
      <w:r w:rsidR="00D035BD" w:rsidRPr="00D13B3A">
        <w:rPr>
          <w:sz w:val="20"/>
          <w:szCs w:val="20"/>
          <w:lang w:val="en-US"/>
        </w:rPr>
        <w:t>5</w:t>
      </w:r>
      <w:r w:rsidRPr="00D13B3A">
        <w:rPr>
          <w:sz w:val="20"/>
          <w:szCs w:val="20"/>
          <w:lang w:val="en-US"/>
        </w:rPr>
        <w:t>).</w:t>
      </w:r>
    </w:p>
    <w:p w:rsidR="00166536" w:rsidRPr="00D13B3A" w:rsidRDefault="000F72E4" w:rsidP="00247BEB">
      <w:pPr>
        <w:pStyle w:val="Corpodetexto"/>
        <w:spacing w:line="480" w:lineRule="auto"/>
        <w:ind w:firstLine="709"/>
        <w:rPr>
          <w:lang w:val="en-US"/>
        </w:rPr>
      </w:pPr>
      <w:r w:rsidRPr="00D13B3A">
        <w:rPr>
          <w:lang w:val="en-US"/>
        </w:rPr>
        <w:t xml:space="preserve">Fourth, </w:t>
      </w:r>
      <w:r w:rsidR="009F153A" w:rsidRPr="00D13B3A">
        <w:rPr>
          <w:lang w:val="en-US"/>
        </w:rPr>
        <w:t xml:space="preserve">awareness </w:t>
      </w:r>
      <w:r w:rsidR="00A663A0" w:rsidRPr="00D13B3A">
        <w:rPr>
          <w:lang w:val="en-US"/>
        </w:rPr>
        <w:t xml:space="preserve">grew </w:t>
      </w:r>
      <w:r w:rsidR="009F153A" w:rsidRPr="00D13B3A">
        <w:rPr>
          <w:lang w:val="en-US"/>
        </w:rPr>
        <w:t xml:space="preserve">that </w:t>
      </w:r>
      <w:r w:rsidR="00DE4D2B" w:rsidRPr="00D13B3A">
        <w:rPr>
          <w:lang w:val="en-US"/>
        </w:rPr>
        <w:t>traditional</w:t>
      </w:r>
      <w:r w:rsidR="009F153A" w:rsidRPr="00D13B3A">
        <w:rPr>
          <w:lang w:val="en-US"/>
        </w:rPr>
        <w:t xml:space="preserve"> trade statistics may give a misleading perspective of </w:t>
      </w:r>
      <w:r w:rsidR="00DE4D2B" w:rsidRPr="00D13B3A">
        <w:rPr>
          <w:lang w:val="en-US"/>
        </w:rPr>
        <w:t xml:space="preserve">trade flows </w:t>
      </w:r>
      <w:r w:rsidR="00860308" w:rsidRPr="00D13B3A">
        <w:rPr>
          <w:lang w:val="en-US"/>
        </w:rPr>
        <w:t>and that «</w:t>
      </w:r>
      <w:r w:rsidR="009F153A" w:rsidRPr="00D13B3A">
        <w:rPr>
          <w:lang w:val="en-US"/>
        </w:rPr>
        <w:t>what you see is not what you get</w:t>
      </w:r>
      <w:r w:rsidR="00860308" w:rsidRPr="00D13B3A">
        <w:rPr>
          <w:lang w:val="en-US"/>
        </w:rPr>
        <w:t>»</w:t>
      </w:r>
      <w:r w:rsidR="00994C52" w:rsidRPr="00D13B3A">
        <w:rPr>
          <w:lang w:val="en-US"/>
        </w:rPr>
        <w:t xml:space="preserve"> (</w:t>
      </w:r>
      <w:r w:rsidR="009F153A" w:rsidRPr="00D13B3A">
        <w:rPr>
          <w:lang w:val="en-US"/>
        </w:rPr>
        <w:t>M</w:t>
      </w:r>
      <w:r w:rsidR="00994C52" w:rsidRPr="00D13B3A">
        <w:rPr>
          <w:lang w:val="en-US"/>
        </w:rPr>
        <w:t>aurer</w:t>
      </w:r>
      <w:r w:rsidR="009F153A" w:rsidRPr="00D13B3A">
        <w:rPr>
          <w:lang w:val="en-US"/>
        </w:rPr>
        <w:t xml:space="preserve"> </w:t>
      </w:r>
      <w:r w:rsidR="00994C52" w:rsidRPr="00D13B3A">
        <w:rPr>
          <w:lang w:val="en-US"/>
        </w:rPr>
        <w:t xml:space="preserve">&amp; </w:t>
      </w:r>
      <w:proofErr w:type="spellStart"/>
      <w:r w:rsidR="00994C52" w:rsidRPr="00D13B3A">
        <w:rPr>
          <w:lang w:val="en-US"/>
        </w:rPr>
        <w:t>Degain</w:t>
      </w:r>
      <w:proofErr w:type="spellEnd"/>
      <w:r w:rsidR="00994C52" w:rsidRPr="00D13B3A">
        <w:rPr>
          <w:lang w:val="en-US"/>
        </w:rPr>
        <w:t>, 2010)</w:t>
      </w:r>
      <w:r w:rsidR="009F153A" w:rsidRPr="00D13B3A">
        <w:rPr>
          <w:lang w:val="en-US"/>
        </w:rPr>
        <w:t>.</w:t>
      </w:r>
      <w:r w:rsidR="005535A0" w:rsidRPr="00D13B3A">
        <w:rPr>
          <w:lang w:val="en-US"/>
        </w:rPr>
        <w:t xml:space="preserve"> </w:t>
      </w:r>
      <w:r w:rsidR="00DE4D2B" w:rsidRPr="00D13B3A">
        <w:rPr>
          <w:lang w:val="en-US"/>
        </w:rPr>
        <w:t>UNCTAD (2013</w:t>
      </w:r>
      <w:r w:rsidR="00853CB0">
        <w:rPr>
          <w:lang w:val="en-US"/>
        </w:rPr>
        <w:t>c</w:t>
      </w:r>
      <w:r w:rsidR="00DE4D2B" w:rsidRPr="00D13B3A">
        <w:rPr>
          <w:lang w:val="en-US"/>
        </w:rPr>
        <w:t>) concluded that t</w:t>
      </w:r>
      <w:r w:rsidR="005535A0" w:rsidRPr="00D13B3A">
        <w:rPr>
          <w:lang w:val="en-US"/>
        </w:rPr>
        <w:t xml:space="preserve">raditional </w:t>
      </w:r>
      <w:r w:rsidR="00DE4D2B" w:rsidRPr="00D13B3A">
        <w:rPr>
          <w:lang w:val="en-US"/>
        </w:rPr>
        <w:t>statistics overstate</w:t>
      </w:r>
      <w:r w:rsidR="005535A0" w:rsidRPr="00D13B3A">
        <w:rPr>
          <w:lang w:val="en-US"/>
        </w:rPr>
        <w:t xml:space="preserve"> the volume of total </w:t>
      </w:r>
      <w:r w:rsidR="00DE4D2B" w:rsidRPr="00D13B3A">
        <w:rPr>
          <w:lang w:val="en-US"/>
        </w:rPr>
        <w:t>trade flows</w:t>
      </w:r>
      <w:r w:rsidR="00B151D7" w:rsidRPr="00D13B3A">
        <w:rPr>
          <w:lang w:val="en-US"/>
        </w:rPr>
        <w:t xml:space="preserve">. These authors noted that </w:t>
      </w:r>
      <w:r w:rsidR="005B37E9" w:rsidRPr="00D13B3A">
        <w:rPr>
          <w:lang w:val="en-US"/>
        </w:rPr>
        <w:t xml:space="preserve">28% of the value of </w:t>
      </w:r>
      <w:r w:rsidR="008166E0" w:rsidRPr="00D13B3A">
        <w:rPr>
          <w:lang w:val="en-US"/>
        </w:rPr>
        <w:t xml:space="preserve">world </w:t>
      </w:r>
      <w:r w:rsidR="005B37E9" w:rsidRPr="00D13B3A">
        <w:rPr>
          <w:lang w:val="en-US"/>
        </w:rPr>
        <w:t xml:space="preserve">cross-border trade in goods and services </w:t>
      </w:r>
      <w:r w:rsidR="007C3E9C" w:rsidRPr="00D13B3A">
        <w:rPr>
          <w:lang w:val="en-US"/>
        </w:rPr>
        <w:t xml:space="preserve">in 2010 </w:t>
      </w:r>
      <w:r w:rsidR="005B37E9" w:rsidRPr="00D13B3A">
        <w:rPr>
          <w:lang w:val="en-US"/>
        </w:rPr>
        <w:t xml:space="preserve">(about USD 5 trillion) </w:t>
      </w:r>
      <w:r w:rsidR="007C3E9C" w:rsidRPr="00D13B3A">
        <w:rPr>
          <w:lang w:val="en-US"/>
        </w:rPr>
        <w:t>wa</w:t>
      </w:r>
      <w:r w:rsidR="005B37E9" w:rsidRPr="00D13B3A">
        <w:rPr>
          <w:lang w:val="en-US"/>
        </w:rPr>
        <w:t xml:space="preserve">s </w:t>
      </w:r>
      <w:r w:rsidR="00DE4D2B" w:rsidRPr="00D13B3A">
        <w:rPr>
          <w:lang w:val="en-US"/>
        </w:rPr>
        <w:t>magnified</w:t>
      </w:r>
      <w:r w:rsidR="005B37E9" w:rsidRPr="00D13B3A">
        <w:rPr>
          <w:lang w:val="en-US"/>
        </w:rPr>
        <w:t xml:space="preserve"> as a result of double counti</w:t>
      </w:r>
      <w:r w:rsidR="008166E0" w:rsidRPr="00D13B3A">
        <w:rPr>
          <w:lang w:val="en-US"/>
        </w:rPr>
        <w:t>ng</w:t>
      </w:r>
      <w:r w:rsidR="003642DB" w:rsidRPr="00D13B3A">
        <w:rPr>
          <w:lang w:val="en-US"/>
        </w:rPr>
        <w:t xml:space="preserve">. </w:t>
      </w:r>
      <w:r w:rsidR="00DE4D2B" w:rsidRPr="00D13B3A">
        <w:rPr>
          <w:lang w:val="en-US"/>
        </w:rPr>
        <w:t xml:space="preserve">The rationale is that the value of exported </w:t>
      </w:r>
      <w:r w:rsidR="005535A0" w:rsidRPr="00D13B3A">
        <w:rPr>
          <w:lang w:val="en-US"/>
        </w:rPr>
        <w:t xml:space="preserve">goods </w:t>
      </w:r>
      <w:r w:rsidR="00DE4D2B" w:rsidRPr="00D13B3A">
        <w:rPr>
          <w:lang w:val="en-US"/>
        </w:rPr>
        <w:t>include</w:t>
      </w:r>
      <w:r w:rsidR="00166536" w:rsidRPr="00D13B3A">
        <w:rPr>
          <w:lang w:val="en-US"/>
        </w:rPr>
        <w:t>s</w:t>
      </w:r>
      <w:r w:rsidR="00DE4D2B" w:rsidRPr="00D13B3A">
        <w:rPr>
          <w:lang w:val="en-US"/>
        </w:rPr>
        <w:t xml:space="preserve"> the value of the imported inputs used in their production, </w:t>
      </w:r>
      <w:r w:rsidR="00B151D7" w:rsidRPr="00D13B3A">
        <w:rPr>
          <w:lang w:val="en-US"/>
        </w:rPr>
        <w:t xml:space="preserve">which were internationally traded already, </w:t>
      </w:r>
      <w:r w:rsidR="00DE4D2B" w:rsidRPr="00D13B3A">
        <w:rPr>
          <w:lang w:val="en-US"/>
        </w:rPr>
        <w:t xml:space="preserve">so the value of those inputs, for purposes of </w:t>
      </w:r>
      <w:r w:rsidR="00B151D7" w:rsidRPr="00D13B3A">
        <w:rPr>
          <w:lang w:val="en-US"/>
        </w:rPr>
        <w:t xml:space="preserve">international </w:t>
      </w:r>
      <w:r w:rsidR="00DE4D2B" w:rsidRPr="00D13B3A">
        <w:rPr>
          <w:lang w:val="en-US"/>
        </w:rPr>
        <w:t xml:space="preserve">trade record, will be counted </w:t>
      </w:r>
      <w:r w:rsidR="00166536" w:rsidRPr="00D13B3A">
        <w:rPr>
          <w:lang w:val="en-US"/>
        </w:rPr>
        <w:t xml:space="preserve">twice: first, individually, </w:t>
      </w:r>
      <w:r w:rsidR="00DE4D2B" w:rsidRPr="00D13B3A">
        <w:rPr>
          <w:lang w:val="en-US"/>
        </w:rPr>
        <w:t>when imported</w:t>
      </w:r>
      <w:r w:rsidR="00166536" w:rsidRPr="00D13B3A">
        <w:rPr>
          <w:lang w:val="en-US"/>
        </w:rPr>
        <w:t xml:space="preserve"> as parts and components</w:t>
      </w:r>
      <w:r w:rsidR="00DE4D2B" w:rsidRPr="00D13B3A">
        <w:rPr>
          <w:lang w:val="en-US"/>
        </w:rPr>
        <w:t xml:space="preserve">, </w:t>
      </w:r>
      <w:r w:rsidR="00166536" w:rsidRPr="00D13B3A">
        <w:rPr>
          <w:lang w:val="en-US"/>
        </w:rPr>
        <w:t xml:space="preserve">and, second, </w:t>
      </w:r>
      <w:r w:rsidR="00DE4D2B" w:rsidRPr="00D13B3A">
        <w:rPr>
          <w:lang w:val="en-US"/>
        </w:rPr>
        <w:t xml:space="preserve">when the final good is exported, </w:t>
      </w:r>
      <w:r w:rsidR="00166536" w:rsidRPr="00D13B3A">
        <w:rPr>
          <w:lang w:val="en-US"/>
        </w:rPr>
        <w:t xml:space="preserve">embedded </w:t>
      </w:r>
      <w:r w:rsidR="00DE4D2B" w:rsidRPr="00D13B3A">
        <w:rPr>
          <w:lang w:val="en-US"/>
        </w:rPr>
        <w:t xml:space="preserve">in its </w:t>
      </w:r>
      <w:r w:rsidR="00166536" w:rsidRPr="00D13B3A">
        <w:rPr>
          <w:lang w:val="en-US"/>
        </w:rPr>
        <w:t xml:space="preserve">exported </w:t>
      </w:r>
      <w:r w:rsidR="00DE4D2B" w:rsidRPr="00D13B3A">
        <w:rPr>
          <w:lang w:val="en-US"/>
        </w:rPr>
        <w:t>value</w:t>
      </w:r>
      <w:r w:rsidR="005535A0" w:rsidRPr="00D13B3A">
        <w:rPr>
          <w:lang w:val="en-US"/>
        </w:rPr>
        <w:t>.</w:t>
      </w:r>
      <w:r w:rsidR="00B151D7" w:rsidRPr="00D13B3A">
        <w:rPr>
          <w:lang w:val="en-US"/>
        </w:rPr>
        <w:t xml:space="preserve"> </w:t>
      </w:r>
      <w:r w:rsidR="00166536" w:rsidRPr="00D13B3A">
        <w:rPr>
          <w:lang w:val="en-US"/>
        </w:rPr>
        <w:t xml:space="preserve">Following OECD &amp; WTO (2013), let’s </w:t>
      </w:r>
      <w:r w:rsidR="00F319AB" w:rsidRPr="00D13B3A">
        <w:rPr>
          <w:lang w:val="en-US"/>
        </w:rPr>
        <w:t xml:space="preserve">admit </w:t>
      </w:r>
      <w:r w:rsidR="00166536" w:rsidRPr="00D13B3A">
        <w:rPr>
          <w:lang w:val="en-US"/>
        </w:rPr>
        <w:t>a world with three countries: A, B and C. Country A exports USD 100 of goods produced fully domestically to country B. Then country B further processes them into more complex goods before exporting them to country C</w:t>
      </w:r>
      <w:r w:rsidR="002269C3">
        <w:rPr>
          <w:lang w:val="en-US"/>
        </w:rPr>
        <w:t xml:space="preserve"> for USD 110</w:t>
      </w:r>
      <w:r w:rsidR="00166536" w:rsidRPr="00D13B3A">
        <w:rPr>
          <w:lang w:val="en-US"/>
        </w:rPr>
        <w:t xml:space="preserve">, where they are consumed. In this sequence, country B adds value worth USD 10 to the initial goods. </w:t>
      </w:r>
      <w:r w:rsidR="00166536" w:rsidRPr="00D13B3A">
        <w:rPr>
          <w:lang w:val="en-US"/>
        </w:rPr>
        <w:lastRenderedPageBreak/>
        <w:t>Conventional measures of trade wou</w:t>
      </w:r>
      <w:r w:rsidR="00164696" w:rsidRPr="00D13B3A">
        <w:rPr>
          <w:lang w:val="en-US"/>
        </w:rPr>
        <w:t>ld show global trade flows tota</w:t>
      </w:r>
      <w:r w:rsidR="00166536" w:rsidRPr="00D13B3A">
        <w:rPr>
          <w:lang w:val="en-US"/>
        </w:rPr>
        <w:t>ling USD 210. However, total value-added was only USD 110 (USD 100 by country A and USD 10 by country B). Moreover, conventional measures would also show that country C has a trade deficit of USD 110 with country B, and no trade at all with country A. However, we note that country A is the major beneficiary of country C’s consumption. By making use of value-added statistics, we would observe that country C’s net deficit with country B is not USD 110. Country C's net deficit is USD 10 with country B and USD 100 with country A.</w:t>
      </w:r>
    </w:p>
    <w:p w:rsidR="00C81548" w:rsidRPr="00D13B3A" w:rsidRDefault="00EB2999" w:rsidP="00EB2999">
      <w:pPr>
        <w:pStyle w:val="Corpodetexto"/>
        <w:spacing w:line="480" w:lineRule="auto"/>
        <w:ind w:firstLine="709"/>
        <w:rPr>
          <w:lang w:val="en-US"/>
        </w:rPr>
      </w:pPr>
      <w:r w:rsidRPr="00D13B3A">
        <w:rPr>
          <w:lang w:val="en-US"/>
        </w:rPr>
        <w:t>Two</w:t>
      </w:r>
      <w:r w:rsidR="00996403" w:rsidRPr="00D13B3A">
        <w:rPr>
          <w:lang w:val="en-US"/>
        </w:rPr>
        <w:t xml:space="preserve"> well-discussed </w:t>
      </w:r>
      <w:r w:rsidR="003B0775" w:rsidRPr="00D13B3A">
        <w:rPr>
          <w:lang w:val="en-US"/>
        </w:rPr>
        <w:t>stud</w:t>
      </w:r>
      <w:r w:rsidRPr="00D13B3A">
        <w:rPr>
          <w:lang w:val="en-US"/>
        </w:rPr>
        <w:t>ies</w:t>
      </w:r>
      <w:r w:rsidR="007E5858" w:rsidRPr="00D13B3A">
        <w:rPr>
          <w:lang w:val="en-US"/>
        </w:rPr>
        <w:t xml:space="preserve"> of the implications of value-added statistics in real trade flows w</w:t>
      </w:r>
      <w:r w:rsidRPr="00D13B3A">
        <w:rPr>
          <w:lang w:val="en-US"/>
        </w:rPr>
        <w:t>ere</w:t>
      </w:r>
      <w:r w:rsidR="00C81548" w:rsidRPr="00D13B3A">
        <w:rPr>
          <w:lang w:val="en-US"/>
        </w:rPr>
        <w:t xml:space="preserve"> </w:t>
      </w:r>
      <w:r w:rsidR="007E5858" w:rsidRPr="00D13B3A">
        <w:rPr>
          <w:lang w:val="en-US"/>
        </w:rPr>
        <w:t xml:space="preserve">provided </w:t>
      </w:r>
      <w:r w:rsidR="00164696" w:rsidRPr="00D13B3A">
        <w:rPr>
          <w:lang w:val="en-US"/>
        </w:rPr>
        <w:t>(</w:t>
      </w:r>
      <w:proofErr w:type="spellStart"/>
      <w:r w:rsidR="00164696" w:rsidRPr="00D13B3A">
        <w:rPr>
          <w:lang w:val="en-US"/>
        </w:rPr>
        <w:t>i</w:t>
      </w:r>
      <w:proofErr w:type="spellEnd"/>
      <w:r w:rsidR="00164696" w:rsidRPr="00D13B3A">
        <w:rPr>
          <w:lang w:val="en-US"/>
        </w:rPr>
        <w:t xml:space="preserve">) </w:t>
      </w:r>
      <w:r w:rsidR="007E5858" w:rsidRPr="00D13B3A">
        <w:rPr>
          <w:lang w:val="en-US"/>
        </w:rPr>
        <w:t xml:space="preserve">by </w:t>
      </w:r>
      <w:r w:rsidRPr="00D13B3A">
        <w:rPr>
          <w:lang w:val="en-US"/>
        </w:rPr>
        <w:t xml:space="preserve">the Swedish National Board of Trade (National Board of Trade, 2007), regarding the European shoe industry, and </w:t>
      </w:r>
      <w:r w:rsidR="00164696" w:rsidRPr="00D13B3A">
        <w:rPr>
          <w:lang w:val="en-US"/>
        </w:rPr>
        <w:t xml:space="preserve">(ii) </w:t>
      </w:r>
      <w:r w:rsidRPr="00D13B3A">
        <w:rPr>
          <w:lang w:val="en-US"/>
        </w:rPr>
        <w:t xml:space="preserve">by </w:t>
      </w:r>
      <w:r w:rsidR="00782735" w:rsidRPr="00D13B3A">
        <w:rPr>
          <w:lang w:val="en-US"/>
        </w:rPr>
        <w:t>X</w:t>
      </w:r>
      <w:r w:rsidR="00994C52" w:rsidRPr="00D13B3A">
        <w:rPr>
          <w:lang w:val="en-US"/>
        </w:rPr>
        <w:t>ing</w:t>
      </w:r>
      <w:r w:rsidR="00782735" w:rsidRPr="00D13B3A">
        <w:rPr>
          <w:lang w:val="en-US"/>
        </w:rPr>
        <w:t xml:space="preserve"> </w:t>
      </w:r>
      <w:r w:rsidR="00994C52" w:rsidRPr="00D13B3A">
        <w:rPr>
          <w:lang w:val="en-US"/>
        </w:rPr>
        <w:t xml:space="preserve">&amp; </w:t>
      </w:r>
      <w:proofErr w:type="spellStart"/>
      <w:r w:rsidR="00782735" w:rsidRPr="00D13B3A">
        <w:rPr>
          <w:lang w:val="en-US"/>
        </w:rPr>
        <w:t>D</w:t>
      </w:r>
      <w:r w:rsidR="00994C52" w:rsidRPr="00D13B3A">
        <w:rPr>
          <w:lang w:val="en-US"/>
        </w:rPr>
        <w:t>etert</w:t>
      </w:r>
      <w:proofErr w:type="spellEnd"/>
      <w:r w:rsidR="00782735" w:rsidRPr="00D13B3A">
        <w:rPr>
          <w:lang w:val="en-US"/>
        </w:rPr>
        <w:t xml:space="preserve"> (2010)</w:t>
      </w:r>
      <w:r w:rsidRPr="00D13B3A">
        <w:rPr>
          <w:lang w:val="en-US"/>
        </w:rPr>
        <w:t>,</w:t>
      </w:r>
      <w:r w:rsidR="003B0775" w:rsidRPr="00D13B3A">
        <w:rPr>
          <w:lang w:val="en-US"/>
        </w:rPr>
        <w:t xml:space="preserve"> regarding </w:t>
      </w:r>
      <w:r w:rsidR="00782735" w:rsidRPr="00D13B3A">
        <w:rPr>
          <w:lang w:val="en-US"/>
        </w:rPr>
        <w:t>Apple’s iPhone</w:t>
      </w:r>
      <w:r w:rsidR="006B74F1" w:rsidRPr="00D13B3A">
        <w:rPr>
          <w:rStyle w:val="Refdenotaderodap"/>
          <w:bCs/>
          <w:lang w:val="en-US"/>
        </w:rPr>
        <w:footnoteReference w:id="12"/>
      </w:r>
      <w:r w:rsidR="00782735" w:rsidRPr="00D13B3A">
        <w:rPr>
          <w:lang w:val="en-US"/>
        </w:rPr>
        <w:t>.</w:t>
      </w:r>
      <w:r w:rsidR="006B74F1" w:rsidRPr="00D13B3A">
        <w:rPr>
          <w:lang w:val="en-US"/>
        </w:rPr>
        <w:t xml:space="preserve"> </w:t>
      </w:r>
      <w:r w:rsidRPr="00D13B3A">
        <w:rPr>
          <w:lang w:val="en-US"/>
        </w:rPr>
        <w:t xml:space="preserve">First, the National Board of Trade (2007) concluded that shoes “Made in Asia” incorporated between 50% and 80% of </w:t>
      </w:r>
      <w:r w:rsidR="006B74F1" w:rsidRPr="00D13B3A">
        <w:rPr>
          <w:lang w:val="en-US"/>
        </w:rPr>
        <w:t>EU</w:t>
      </w:r>
      <w:r w:rsidRPr="00D13B3A">
        <w:rPr>
          <w:lang w:val="en-US"/>
        </w:rPr>
        <w:t xml:space="preserve"> value</w:t>
      </w:r>
      <w:r w:rsidR="006B74F1" w:rsidRPr="00D13B3A">
        <w:rPr>
          <w:lang w:val="en-US"/>
        </w:rPr>
        <w:t>-</w:t>
      </w:r>
      <w:r w:rsidRPr="00D13B3A">
        <w:rPr>
          <w:lang w:val="en-US"/>
        </w:rPr>
        <w:t xml:space="preserve">added in 2005. If </w:t>
      </w:r>
      <w:r w:rsidR="00FF3E9B" w:rsidRPr="00D13B3A">
        <w:rPr>
          <w:lang w:val="en-US"/>
        </w:rPr>
        <w:t xml:space="preserve">EU </w:t>
      </w:r>
      <w:r w:rsidRPr="00D13B3A">
        <w:rPr>
          <w:lang w:val="en-US"/>
        </w:rPr>
        <w:t xml:space="preserve">policy makers had had that information available in due time, it is likely that they would </w:t>
      </w:r>
      <w:r w:rsidR="000D4928" w:rsidRPr="00D13B3A">
        <w:rPr>
          <w:lang w:val="en-US"/>
        </w:rPr>
        <w:t>have re-</w:t>
      </w:r>
      <w:r w:rsidR="006B74F1" w:rsidRPr="00D13B3A">
        <w:rPr>
          <w:lang w:val="en-US"/>
        </w:rPr>
        <w:t xml:space="preserve">assessed </w:t>
      </w:r>
      <w:r w:rsidR="000D4928" w:rsidRPr="00D13B3A">
        <w:rPr>
          <w:lang w:val="en-US"/>
        </w:rPr>
        <w:t xml:space="preserve">the </w:t>
      </w:r>
      <w:r w:rsidRPr="00D13B3A">
        <w:rPr>
          <w:lang w:val="en-US"/>
        </w:rPr>
        <w:t>introduc</w:t>
      </w:r>
      <w:r w:rsidR="000D4928" w:rsidRPr="00D13B3A">
        <w:rPr>
          <w:lang w:val="en-US"/>
        </w:rPr>
        <w:t>tion of</w:t>
      </w:r>
      <w:r w:rsidRPr="00D13B3A">
        <w:rPr>
          <w:lang w:val="en-US"/>
        </w:rPr>
        <w:t xml:space="preserve"> anti-dumping tariffs on shoes imported from </w:t>
      </w:r>
      <w:r w:rsidR="006B74F1" w:rsidRPr="00D13B3A">
        <w:rPr>
          <w:lang w:val="en-US"/>
        </w:rPr>
        <w:t xml:space="preserve">the </w:t>
      </w:r>
      <w:r w:rsidRPr="00D13B3A">
        <w:rPr>
          <w:lang w:val="en-US"/>
        </w:rPr>
        <w:t>PRC and Viet</w:t>
      </w:r>
      <w:r w:rsidR="006C5324">
        <w:rPr>
          <w:lang w:val="en-US"/>
        </w:rPr>
        <w:t xml:space="preserve"> N</w:t>
      </w:r>
      <w:r w:rsidRPr="00D13B3A">
        <w:rPr>
          <w:lang w:val="en-US"/>
        </w:rPr>
        <w:t>am</w:t>
      </w:r>
      <w:r w:rsidR="000D4928" w:rsidRPr="00D13B3A">
        <w:rPr>
          <w:lang w:val="en-US"/>
        </w:rPr>
        <w:t xml:space="preserve"> that they approved </w:t>
      </w:r>
      <w:r w:rsidRPr="00D13B3A">
        <w:rPr>
          <w:lang w:val="en-US"/>
        </w:rPr>
        <w:t xml:space="preserve">in 2006. Second, Xing &amp; </w:t>
      </w:r>
      <w:proofErr w:type="spellStart"/>
      <w:r w:rsidRPr="00D13B3A">
        <w:rPr>
          <w:lang w:val="en-US"/>
        </w:rPr>
        <w:t>Detert</w:t>
      </w:r>
      <w:proofErr w:type="spellEnd"/>
      <w:r w:rsidRPr="00D13B3A">
        <w:rPr>
          <w:lang w:val="en-US"/>
        </w:rPr>
        <w:t xml:space="preserve"> (2010) </w:t>
      </w:r>
      <w:r w:rsidR="008B6080" w:rsidRPr="00D13B3A">
        <w:rPr>
          <w:lang w:val="en-US"/>
        </w:rPr>
        <w:t>tracked the manufacturing process of the iPhone</w:t>
      </w:r>
      <w:r w:rsidR="00C572C7" w:rsidRPr="00D13B3A">
        <w:rPr>
          <w:lang w:val="en-US"/>
        </w:rPr>
        <w:t xml:space="preserve">. </w:t>
      </w:r>
      <w:r w:rsidR="00164696" w:rsidRPr="00D13B3A">
        <w:rPr>
          <w:lang w:val="en-US"/>
        </w:rPr>
        <w:t xml:space="preserve">They </w:t>
      </w:r>
      <w:r w:rsidR="00D77028" w:rsidRPr="00D13B3A">
        <w:rPr>
          <w:lang w:val="en-US"/>
        </w:rPr>
        <w:t xml:space="preserve">observed that, according to traditional trade statistics, </w:t>
      </w:r>
      <w:r w:rsidR="006C5324">
        <w:rPr>
          <w:lang w:val="en-US"/>
        </w:rPr>
        <w:t xml:space="preserve">the production of the device </w:t>
      </w:r>
      <w:r w:rsidR="00D77028" w:rsidRPr="00D13B3A">
        <w:rPr>
          <w:lang w:val="en-US"/>
        </w:rPr>
        <w:t xml:space="preserve">was contributing significantly to the US </w:t>
      </w:r>
      <w:r w:rsidR="006B74F1" w:rsidRPr="00D13B3A">
        <w:rPr>
          <w:lang w:val="en-US"/>
        </w:rPr>
        <w:lastRenderedPageBreak/>
        <w:t xml:space="preserve">bilateral </w:t>
      </w:r>
      <w:r w:rsidR="00D77028" w:rsidRPr="00D13B3A">
        <w:rPr>
          <w:lang w:val="en-US"/>
        </w:rPr>
        <w:t xml:space="preserve">trade deficit with </w:t>
      </w:r>
      <w:r w:rsidR="00164696" w:rsidRPr="00D13B3A">
        <w:rPr>
          <w:lang w:val="en-US"/>
        </w:rPr>
        <w:t xml:space="preserve">the </w:t>
      </w:r>
      <w:r w:rsidR="00D77028" w:rsidRPr="00D13B3A">
        <w:rPr>
          <w:lang w:val="en-US"/>
        </w:rPr>
        <w:t xml:space="preserve">PRC (with nearly </w:t>
      </w:r>
      <w:r w:rsidR="001406FD" w:rsidRPr="00D13B3A">
        <w:rPr>
          <w:lang w:val="en-US"/>
        </w:rPr>
        <w:t xml:space="preserve">USD </w:t>
      </w:r>
      <w:r w:rsidR="00D77028" w:rsidRPr="00D13B3A">
        <w:rPr>
          <w:lang w:val="en-US"/>
        </w:rPr>
        <w:t>1.9 billion in 2009). PRC exports g</w:t>
      </w:r>
      <w:r w:rsidR="00164696" w:rsidRPr="00D13B3A">
        <w:rPr>
          <w:lang w:val="en-US"/>
        </w:rPr>
        <w:t>o</w:t>
      </w:r>
      <w:r w:rsidR="00D77028" w:rsidRPr="00D13B3A">
        <w:rPr>
          <w:lang w:val="en-US"/>
        </w:rPr>
        <w:t>t the full credit of the iPhone's value to the US. However, these authors note</w:t>
      </w:r>
      <w:r w:rsidR="00393BCB" w:rsidRPr="00D13B3A">
        <w:rPr>
          <w:lang w:val="en-US"/>
        </w:rPr>
        <w:t>d</w:t>
      </w:r>
      <w:r w:rsidR="00D77028" w:rsidRPr="00D13B3A">
        <w:rPr>
          <w:lang w:val="en-US"/>
        </w:rPr>
        <w:t xml:space="preserve"> that, in value-added terms, </w:t>
      </w:r>
      <w:r w:rsidR="00164696" w:rsidRPr="00D13B3A">
        <w:rPr>
          <w:lang w:val="en-US"/>
        </w:rPr>
        <w:t xml:space="preserve">the </w:t>
      </w:r>
      <w:r w:rsidR="00D77028" w:rsidRPr="00D13B3A">
        <w:rPr>
          <w:lang w:val="en-US"/>
        </w:rPr>
        <w:t xml:space="preserve">PRC was only responsible for the assembly in its factory in Shenzhen of the several parts and components of the iPhone imported from several other locations around the world, namely </w:t>
      </w:r>
      <w:r w:rsidR="00164696" w:rsidRPr="00D13B3A">
        <w:rPr>
          <w:lang w:val="en-US"/>
        </w:rPr>
        <w:t xml:space="preserve">from </w:t>
      </w:r>
      <w:r w:rsidR="00D77028" w:rsidRPr="00D13B3A">
        <w:rPr>
          <w:lang w:val="en-US"/>
        </w:rPr>
        <w:t xml:space="preserve">South Korea, Japan and Taiwan, as well as from the US itself. </w:t>
      </w:r>
      <w:r w:rsidR="00393BCB" w:rsidRPr="00D13B3A">
        <w:rPr>
          <w:lang w:val="en-US"/>
        </w:rPr>
        <w:t xml:space="preserve">They also noted that PRC workers were adding very little to the value of the iPhone in the manufacturing process – a mere 3.6% of the </w:t>
      </w:r>
      <w:r w:rsidR="00164696" w:rsidRPr="00D13B3A">
        <w:rPr>
          <w:lang w:val="en-US"/>
        </w:rPr>
        <w:t xml:space="preserve">final </w:t>
      </w:r>
      <w:r w:rsidR="00393BCB" w:rsidRPr="00D13B3A">
        <w:rPr>
          <w:lang w:val="en-US"/>
        </w:rPr>
        <w:t>cost</w:t>
      </w:r>
      <w:r w:rsidR="00393BCB" w:rsidRPr="00D13B3A">
        <w:rPr>
          <w:rStyle w:val="Refdenotaderodap"/>
          <w:lang w:val="en-US"/>
        </w:rPr>
        <w:footnoteReference w:id="13"/>
      </w:r>
      <w:r w:rsidR="00393BCB" w:rsidRPr="00D13B3A">
        <w:rPr>
          <w:lang w:val="en-US"/>
        </w:rPr>
        <w:t>.</w:t>
      </w:r>
      <w:r w:rsidR="00BE3C22" w:rsidRPr="00D13B3A">
        <w:rPr>
          <w:lang w:val="en-US"/>
        </w:rPr>
        <w:t xml:space="preserve"> Finally</w:t>
      </w:r>
      <w:r w:rsidR="00D77028" w:rsidRPr="00D13B3A">
        <w:rPr>
          <w:lang w:val="en-US"/>
        </w:rPr>
        <w:t xml:space="preserve">, </w:t>
      </w:r>
      <w:r w:rsidR="00BE3C22" w:rsidRPr="00D13B3A">
        <w:rPr>
          <w:lang w:val="en-US"/>
        </w:rPr>
        <w:t xml:space="preserve">they </w:t>
      </w:r>
      <w:r w:rsidR="00D77028" w:rsidRPr="00D13B3A">
        <w:rPr>
          <w:lang w:val="en-US"/>
        </w:rPr>
        <w:t>estimat</w:t>
      </w:r>
      <w:r w:rsidR="00BE3C22" w:rsidRPr="00D13B3A">
        <w:rPr>
          <w:lang w:val="en-US"/>
        </w:rPr>
        <w:t xml:space="preserve">ed </w:t>
      </w:r>
      <w:r w:rsidR="000A1083" w:rsidRPr="00D13B3A">
        <w:rPr>
          <w:bCs/>
          <w:lang w:val="en-US"/>
        </w:rPr>
        <w:t>the</w:t>
      </w:r>
      <w:r w:rsidR="00D77028" w:rsidRPr="00D13B3A">
        <w:rPr>
          <w:bCs/>
          <w:lang w:val="en-US"/>
        </w:rPr>
        <w:t xml:space="preserve"> </w:t>
      </w:r>
      <w:r w:rsidR="00461F7F" w:rsidRPr="00D13B3A">
        <w:rPr>
          <w:bCs/>
          <w:lang w:val="en-US"/>
        </w:rPr>
        <w:t>iPhone</w:t>
      </w:r>
      <w:r w:rsidR="000A1083" w:rsidRPr="00D13B3A">
        <w:rPr>
          <w:bCs/>
          <w:lang w:val="en-US"/>
        </w:rPr>
        <w:t>-related</w:t>
      </w:r>
      <w:r w:rsidR="00461F7F" w:rsidRPr="00D13B3A">
        <w:rPr>
          <w:bCs/>
          <w:lang w:val="en-US"/>
        </w:rPr>
        <w:t xml:space="preserve"> </w:t>
      </w:r>
      <w:r w:rsidR="000A1083" w:rsidRPr="00D13B3A">
        <w:rPr>
          <w:bCs/>
          <w:lang w:val="en-US"/>
        </w:rPr>
        <w:t xml:space="preserve">bilateral </w:t>
      </w:r>
      <w:r w:rsidR="00461F7F" w:rsidRPr="00D13B3A">
        <w:rPr>
          <w:bCs/>
          <w:lang w:val="en-US"/>
        </w:rPr>
        <w:t xml:space="preserve">trade </w:t>
      </w:r>
      <w:r w:rsidR="00BE3C22" w:rsidRPr="00D13B3A">
        <w:rPr>
          <w:bCs/>
          <w:lang w:val="en-US"/>
        </w:rPr>
        <w:t xml:space="preserve">balance </w:t>
      </w:r>
      <w:r w:rsidR="000A1083" w:rsidRPr="00D13B3A">
        <w:rPr>
          <w:bCs/>
          <w:lang w:val="en-US"/>
        </w:rPr>
        <w:t xml:space="preserve">between the US and the PRC, </w:t>
      </w:r>
      <w:r w:rsidR="00461F7F" w:rsidRPr="00D13B3A">
        <w:rPr>
          <w:bCs/>
          <w:lang w:val="en-US"/>
        </w:rPr>
        <w:t>based on the actual value</w:t>
      </w:r>
      <w:r w:rsidR="000A1083" w:rsidRPr="00D13B3A">
        <w:rPr>
          <w:bCs/>
          <w:lang w:val="en-US"/>
        </w:rPr>
        <w:t>-</w:t>
      </w:r>
      <w:r w:rsidR="00461F7F" w:rsidRPr="00D13B3A">
        <w:rPr>
          <w:bCs/>
          <w:lang w:val="en-US"/>
        </w:rPr>
        <w:t xml:space="preserve">added </w:t>
      </w:r>
      <w:r w:rsidR="00BE3C22" w:rsidRPr="00D13B3A">
        <w:rPr>
          <w:bCs/>
          <w:lang w:val="en-US"/>
        </w:rPr>
        <w:t>flows</w:t>
      </w:r>
      <w:r w:rsidR="000A1083" w:rsidRPr="00D13B3A">
        <w:rPr>
          <w:bCs/>
          <w:lang w:val="en-US"/>
        </w:rPr>
        <w:t>,</w:t>
      </w:r>
      <w:r w:rsidR="00BE3C22" w:rsidRPr="00D13B3A">
        <w:rPr>
          <w:bCs/>
          <w:lang w:val="en-US"/>
        </w:rPr>
        <w:t xml:space="preserve"> and concluded that, </w:t>
      </w:r>
      <w:r w:rsidR="00461F7F" w:rsidRPr="00D13B3A">
        <w:rPr>
          <w:lang w:val="en-US"/>
        </w:rPr>
        <w:t xml:space="preserve">because </w:t>
      </w:r>
      <w:r w:rsidR="000A1083" w:rsidRPr="00D13B3A">
        <w:rPr>
          <w:lang w:val="en-US"/>
        </w:rPr>
        <w:t xml:space="preserve">a significant portion of the </w:t>
      </w:r>
      <w:r w:rsidR="00461F7F" w:rsidRPr="00D13B3A">
        <w:rPr>
          <w:lang w:val="en-US"/>
        </w:rPr>
        <w:t xml:space="preserve">parts </w:t>
      </w:r>
      <w:r w:rsidR="000A1083" w:rsidRPr="00D13B3A">
        <w:rPr>
          <w:lang w:val="en-US"/>
        </w:rPr>
        <w:t xml:space="preserve">and components </w:t>
      </w:r>
      <w:r w:rsidR="00461F7F" w:rsidRPr="00D13B3A">
        <w:rPr>
          <w:lang w:val="en-US"/>
        </w:rPr>
        <w:t xml:space="preserve">assembled into the iPhone in </w:t>
      </w:r>
      <w:r w:rsidR="000A1083" w:rsidRPr="00D13B3A">
        <w:rPr>
          <w:lang w:val="en-US"/>
        </w:rPr>
        <w:t xml:space="preserve">Shenzhen </w:t>
      </w:r>
      <w:r w:rsidR="00164696" w:rsidRPr="00D13B3A">
        <w:rPr>
          <w:lang w:val="en-US"/>
        </w:rPr>
        <w:t>we</w:t>
      </w:r>
      <w:r w:rsidR="00461F7F" w:rsidRPr="00D13B3A">
        <w:rPr>
          <w:lang w:val="en-US"/>
        </w:rPr>
        <w:t xml:space="preserve">re </w:t>
      </w:r>
      <w:r w:rsidR="00BE3C22" w:rsidRPr="00D13B3A">
        <w:rPr>
          <w:lang w:val="en-US"/>
        </w:rPr>
        <w:t xml:space="preserve">imported </w:t>
      </w:r>
      <w:r w:rsidR="00461F7F" w:rsidRPr="00D13B3A">
        <w:rPr>
          <w:lang w:val="en-US"/>
        </w:rPr>
        <w:t xml:space="preserve">from </w:t>
      </w:r>
      <w:r w:rsidR="00BE3C22" w:rsidRPr="00D13B3A">
        <w:rPr>
          <w:lang w:val="en-US"/>
        </w:rPr>
        <w:t>the US</w:t>
      </w:r>
      <w:r w:rsidR="00461F7F" w:rsidRPr="00D13B3A">
        <w:rPr>
          <w:lang w:val="en-US"/>
        </w:rPr>
        <w:t>,</w:t>
      </w:r>
      <w:r w:rsidR="00C81548" w:rsidRPr="00D13B3A">
        <w:rPr>
          <w:lang w:val="en-US"/>
        </w:rPr>
        <w:t xml:space="preserve"> </w:t>
      </w:r>
      <w:r w:rsidR="00BE3C22" w:rsidRPr="00D13B3A">
        <w:rPr>
          <w:lang w:val="en-US"/>
        </w:rPr>
        <w:t xml:space="preserve">the iPhone-related US </w:t>
      </w:r>
      <w:r w:rsidR="000A1083" w:rsidRPr="00D13B3A">
        <w:rPr>
          <w:lang w:val="en-US"/>
        </w:rPr>
        <w:t xml:space="preserve">bilateral </w:t>
      </w:r>
      <w:r w:rsidR="00BE3C22" w:rsidRPr="00D13B3A">
        <w:rPr>
          <w:lang w:val="en-US"/>
        </w:rPr>
        <w:t xml:space="preserve">trade deficit with </w:t>
      </w:r>
      <w:r w:rsidR="00164696" w:rsidRPr="00D13B3A">
        <w:rPr>
          <w:lang w:val="en-US"/>
        </w:rPr>
        <w:t xml:space="preserve">the </w:t>
      </w:r>
      <w:r w:rsidR="00BE3C22" w:rsidRPr="00D13B3A">
        <w:rPr>
          <w:lang w:val="en-US"/>
        </w:rPr>
        <w:t xml:space="preserve">PRC </w:t>
      </w:r>
      <w:r w:rsidR="000A1083" w:rsidRPr="00D13B3A">
        <w:rPr>
          <w:lang w:val="en-US"/>
        </w:rPr>
        <w:t xml:space="preserve">in 2009 would </w:t>
      </w:r>
      <w:r w:rsidR="00BE3C22" w:rsidRPr="00D13B3A">
        <w:rPr>
          <w:lang w:val="en-US"/>
        </w:rPr>
        <w:t xml:space="preserve">not </w:t>
      </w:r>
      <w:r w:rsidR="000A1083" w:rsidRPr="00D13B3A">
        <w:rPr>
          <w:lang w:val="en-US"/>
        </w:rPr>
        <w:t xml:space="preserve">have been </w:t>
      </w:r>
      <w:r w:rsidR="00BE3C22" w:rsidRPr="00D13B3A">
        <w:rPr>
          <w:lang w:val="en-US"/>
        </w:rPr>
        <w:t>USD 1.9 billion, as traditional</w:t>
      </w:r>
      <w:r w:rsidRPr="00D13B3A">
        <w:rPr>
          <w:lang w:val="en-US"/>
        </w:rPr>
        <w:t xml:space="preserve"> trade statistics showed, but </w:t>
      </w:r>
      <w:r w:rsidR="00BE3C22" w:rsidRPr="00D13B3A">
        <w:rPr>
          <w:lang w:val="en-US"/>
        </w:rPr>
        <w:t>USD 73.5 million</w:t>
      </w:r>
      <w:r w:rsidR="00BE3C22" w:rsidRPr="00D13B3A">
        <w:rPr>
          <w:bCs/>
          <w:lang w:val="en-US"/>
        </w:rPr>
        <w:t xml:space="preserve"> (close to balance).</w:t>
      </w:r>
    </w:p>
    <w:p w:rsidR="002B6785" w:rsidRPr="00D13B3A" w:rsidRDefault="002B6785" w:rsidP="002B6785">
      <w:pPr>
        <w:pStyle w:val="Corpodetexto"/>
        <w:spacing w:line="480" w:lineRule="auto"/>
        <w:ind w:firstLine="709"/>
        <w:rPr>
          <w:lang w:val="en-US"/>
        </w:rPr>
      </w:pPr>
      <w:r w:rsidRPr="00D13B3A">
        <w:rPr>
          <w:lang w:val="en-US"/>
        </w:rPr>
        <w:t xml:space="preserve">The rationale of why traditional statistics fail to give a truthful picture of today’s trade is </w:t>
      </w:r>
      <w:r w:rsidR="00AD1B20" w:rsidRPr="00D13B3A">
        <w:rPr>
          <w:lang w:val="en-US"/>
        </w:rPr>
        <w:t>sound</w:t>
      </w:r>
      <w:r w:rsidRPr="00D13B3A">
        <w:rPr>
          <w:lang w:val="en-US"/>
        </w:rPr>
        <w:t xml:space="preserve">: they fail to measure the value-added of international trade, as well as its appropriation. Even the work carried out by Xing &amp; </w:t>
      </w:r>
      <w:proofErr w:type="spellStart"/>
      <w:r w:rsidRPr="00D13B3A">
        <w:rPr>
          <w:lang w:val="en-US"/>
        </w:rPr>
        <w:t>Detert</w:t>
      </w:r>
      <w:proofErr w:type="spellEnd"/>
      <w:r w:rsidRPr="00D13B3A">
        <w:rPr>
          <w:lang w:val="en-US"/>
        </w:rPr>
        <w:t xml:space="preserve"> (2010) does not tell the whole story. In tracking the manufacturing process of the iPhone, these authors only considered its direct (first-round) intermediate inputs. However, those direct intermediate inputs, imported from </w:t>
      </w:r>
      <w:r w:rsidR="0095018E" w:rsidRPr="00D13B3A">
        <w:rPr>
          <w:lang w:val="en-US"/>
        </w:rPr>
        <w:t>a</w:t>
      </w:r>
      <w:r w:rsidRPr="00D13B3A">
        <w:rPr>
          <w:lang w:val="en-US"/>
        </w:rPr>
        <w:t xml:space="preserve"> given country (South Korea, </w:t>
      </w:r>
      <w:r w:rsidR="00164696" w:rsidRPr="00D13B3A">
        <w:rPr>
          <w:lang w:val="en-US"/>
        </w:rPr>
        <w:t xml:space="preserve">the </w:t>
      </w:r>
      <w:r w:rsidRPr="00D13B3A">
        <w:rPr>
          <w:lang w:val="en-US"/>
        </w:rPr>
        <w:t>US, Taiwan</w:t>
      </w:r>
      <w:r w:rsidR="0095018E" w:rsidRPr="00D13B3A">
        <w:rPr>
          <w:lang w:val="en-US"/>
        </w:rPr>
        <w:t>,</w:t>
      </w:r>
      <w:r w:rsidRPr="00D13B3A">
        <w:rPr>
          <w:lang w:val="en-US"/>
        </w:rPr>
        <w:t xml:space="preserve"> and Germany, mainly)</w:t>
      </w:r>
      <w:r w:rsidR="0095018E" w:rsidRPr="00D13B3A">
        <w:rPr>
          <w:lang w:val="en-US"/>
        </w:rPr>
        <w:t>,</w:t>
      </w:r>
      <w:r w:rsidRPr="00D13B3A">
        <w:rPr>
          <w:lang w:val="en-US"/>
        </w:rPr>
        <w:t xml:space="preserve"> were </w:t>
      </w:r>
      <w:r w:rsidR="0095018E" w:rsidRPr="00D13B3A">
        <w:rPr>
          <w:lang w:val="en-US"/>
        </w:rPr>
        <w:t>certainly manufactured</w:t>
      </w:r>
      <w:r w:rsidRPr="00D13B3A">
        <w:rPr>
          <w:lang w:val="en-US"/>
        </w:rPr>
        <w:t xml:space="preserve"> with inputs produced in a third country: the so-called second-round inputs (which c</w:t>
      </w:r>
      <w:r w:rsidR="006C5324">
        <w:rPr>
          <w:lang w:val="en-US"/>
        </w:rPr>
        <w:t>ould</w:t>
      </w:r>
      <w:r w:rsidRPr="00D13B3A">
        <w:rPr>
          <w:lang w:val="en-US"/>
        </w:rPr>
        <w:t xml:space="preserve"> also include third-, fourth- or fifth-round inputs). Information on all the suppliers' suppliers would be needed (and so on and so forth). </w:t>
      </w:r>
      <w:r w:rsidR="0095018E" w:rsidRPr="00D13B3A">
        <w:rPr>
          <w:lang w:val="en-US"/>
        </w:rPr>
        <w:t xml:space="preserve">Just </w:t>
      </w:r>
      <w:r w:rsidR="0095018E" w:rsidRPr="00D13B3A">
        <w:rPr>
          <w:lang w:val="en-US"/>
        </w:rPr>
        <w:lastRenderedPageBreak/>
        <w:t>to have a glimpse about the importance of these flows, OECD &amp; WTO (2013) concluded that in the US, for example, nearly 5% of the total value of imported inputs reflected US value-added. In the PRC, the analogous figure was close to 7%. Specifically for electronic goods, PRC intermediate imports contained over 12% of “returned” PRC domestic value-added</w:t>
      </w:r>
      <w:r w:rsidR="006C5324">
        <w:rPr>
          <w:lang w:val="en-US"/>
        </w:rPr>
        <w:t>.</w:t>
      </w:r>
      <w:r w:rsidR="0095018E" w:rsidRPr="00D13B3A">
        <w:rPr>
          <w:lang w:val="en-US"/>
        </w:rPr>
        <w:t xml:space="preserve"> South Korean intermediate imports </w:t>
      </w:r>
      <w:r w:rsidR="006C5324">
        <w:rPr>
          <w:lang w:val="en-US"/>
        </w:rPr>
        <w:t xml:space="preserve">also </w:t>
      </w:r>
      <w:r w:rsidR="0095018E" w:rsidRPr="00D13B3A">
        <w:rPr>
          <w:lang w:val="en-US"/>
        </w:rPr>
        <w:t xml:space="preserve">contained close to 5% of “returned” South Korean domestic value-added. </w:t>
      </w:r>
      <w:r w:rsidRPr="00D13B3A">
        <w:rPr>
          <w:lang w:val="en-US"/>
        </w:rPr>
        <w:t>Identifying these second-round inputs is critical to be able to make the right attribution of value added.</w:t>
      </w:r>
    </w:p>
    <w:p w:rsidR="00AD1B20" w:rsidRPr="00D13B3A" w:rsidRDefault="00AD1B20" w:rsidP="00666225">
      <w:pPr>
        <w:pStyle w:val="Corpodetexto"/>
        <w:spacing w:line="480" w:lineRule="auto"/>
        <w:ind w:firstLine="709"/>
        <w:rPr>
          <w:lang w:val="en-US"/>
        </w:rPr>
      </w:pPr>
    </w:p>
    <w:p w:rsidR="00BE69B3" w:rsidRPr="00D13B3A" w:rsidRDefault="0025369F" w:rsidP="00437408">
      <w:pPr>
        <w:pStyle w:val="Cabealho2"/>
        <w:numPr>
          <w:ilvl w:val="1"/>
          <w:numId w:val="5"/>
        </w:numPr>
        <w:rPr>
          <w:b w:val="0"/>
          <w:lang w:val="en-US"/>
        </w:rPr>
      </w:pPr>
      <w:bookmarkStart w:id="30" w:name="_Toc494032815"/>
      <w:r w:rsidRPr="00D13B3A">
        <w:rPr>
          <w:b w:val="0"/>
          <w:lang w:val="en-US"/>
        </w:rPr>
        <w:t>How should we measure it?</w:t>
      </w:r>
      <w:bookmarkEnd w:id="30"/>
    </w:p>
    <w:p w:rsidR="00BE69B3" w:rsidRPr="00D13B3A" w:rsidRDefault="00BE69B3" w:rsidP="00BE69B3">
      <w:pPr>
        <w:pStyle w:val="Corpodetexto"/>
        <w:spacing w:line="480" w:lineRule="auto"/>
        <w:ind w:firstLine="709"/>
        <w:rPr>
          <w:lang w:val="en-US"/>
        </w:rPr>
      </w:pPr>
    </w:p>
    <w:p w:rsidR="0025369F" w:rsidRDefault="002E0BE5" w:rsidP="0025369F">
      <w:pPr>
        <w:pStyle w:val="Corpodetexto"/>
        <w:spacing w:line="480" w:lineRule="auto"/>
        <w:ind w:firstLine="709"/>
        <w:rPr>
          <w:lang w:val="en-US"/>
        </w:rPr>
      </w:pPr>
      <w:r w:rsidRPr="00D13B3A">
        <w:rPr>
          <w:lang w:val="en-US"/>
        </w:rPr>
        <w:t xml:space="preserve">Indicators </w:t>
      </w:r>
      <w:r w:rsidR="006C1F59">
        <w:rPr>
          <w:lang w:val="en-US"/>
        </w:rPr>
        <w:t xml:space="preserve">are not only critically influenced by the scope of the concept definition used, but also by </w:t>
      </w:r>
      <w:r w:rsidRPr="00D13B3A">
        <w:rPr>
          <w:lang w:val="en-US"/>
        </w:rPr>
        <w:t>the data they rely upon</w:t>
      </w:r>
      <w:r w:rsidR="006C1F59">
        <w:rPr>
          <w:lang w:val="en-US"/>
        </w:rPr>
        <w:t xml:space="preserve">. In section 1.3, </w:t>
      </w:r>
      <w:r w:rsidRPr="00D13B3A">
        <w:rPr>
          <w:lang w:val="en-US"/>
        </w:rPr>
        <w:t xml:space="preserve">we will </w:t>
      </w:r>
      <w:r w:rsidR="006C1F59">
        <w:rPr>
          <w:lang w:val="en-US"/>
        </w:rPr>
        <w:t xml:space="preserve">present </w:t>
      </w:r>
      <w:r w:rsidR="000B4DEA" w:rsidRPr="00D13B3A">
        <w:rPr>
          <w:lang w:val="en-US"/>
        </w:rPr>
        <w:t xml:space="preserve">the </w:t>
      </w:r>
      <w:r w:rsidRPr="00D13B3A">
        <w:rPr>
          <w:lang w:val="en-US"/>
        </w:rPr>
        <w:t xml:space="preserve">main </w:t>
      </w:r>
      <w:r w:rsidR="000B4DEA" w:rsidRPr="00D13B3A">
        <w:rPr>
          <w:lang w:val="en-US"/>
        </w:rPr>
        <w:t xml:space="preserve">sources of data used to measure the impact </w:t>
      </w:r>
      <w:r w:rsidRPr="00D13B3A">
        <w:rPr>
          <w:lang w:val="en-US"/>
        </w:rPr>
        <w:t xml:space="preserve">in international trade </w:t>
      </w:r>
      <w:r w:rsidR="000B4DEA" w:rsidRPr="00D13B3A">
        <w:rPr>
          <w:lang w:val="en-US"/>
        </w:rPr>
        <w:t>of the international fragmentation of production</w:t>
      </w:r>
      <w:r w:rsidRPr="00D13B3A">
        <w:rPr>
          <w:lang w:val="en-US"/>
        </w:rPr>
        <w:t xml:space="preserve">, namely: </w:t>
      </w:r>
      <w:r w:rsidR="0025369F" w:rsidRPr="00D13B3A">
        <w:rPr>
          <w:lang w:val="en-US"/>
        </w:rPr>
        <w:t>(</w:t>
      </w:r>
      <w:proofErr w:type="spellStart"/>
      <w:r w:rsidR="0025369F" w:rsidRPr="00D13B3A">
        <w:rPr>
          <w:lang w:val="en-US"/>
        </w:rPr>
        <w:t>i</w:t>
      </w:r>
      <w:proofErr w:type="spellEnd"/>
      <w:r w:rsidR="0025369F" w:rsidRPr="00D13B3A">
        <w:rPr>
          <w:lang w:val="en-US"/>
        </w:rPr>
        <w:t>) statistics of international trade in parts and components; (ii) customs statistics of international trade for processing goods; (iii) firm-level data; and (iv) national accounts and, more recently, internationally linked I</w:t>
      </w:r>
      <w:r w:rsidRPr="00D13B3A">
        <w:rPr>
          <w:lang w:val="en-US"/>
        </w:rPr>
        <w:t>nput-</w:t>
      </w:r>
      <w:r w:rsidR="0025369F" w:rsidRPr="00D13B3A">
        <w:rPr>
          <w:lang w:val="en-US"/>
        </w:rPr>
        <w:t>O</w:t>
      </w:r>
      <w:r w:rsidRPr="00D13B3A">
        <w:rPr>
          <w:lang w:val="en-US"/>
        </w:rPr>
        <w:t>utput (IO)</w:t>
      </w:r>
      <w:r w:rsidR="0025369F" w:rsidRPr="00D13B3A">
        <w:rPr>
          <w:lang w:val="en-US"/>
        </w:rPr>
        <w:t xml:space="preserve"> databases. The main </w:t>
      </w:r>
      <w:r w:rsidRPr="00D13B3A">
        <w:rPr>
          <w:lang w:val="en-US"/>
        </w:rPr>
        <w:t xml:space="preserve">characteristics, </w:t>
      </w:r>
      <w:r w:rsidR="0025369F" w:rsidRPr="00D13B3A">
        <w:rPr>
          <w:lang w:val="en-US"/>
        </w:rPr>
        <w:t xml:space="preserve">pros and cons of each one of these </w:t>
      </w:r>
      <w:r w:rsidRPr="00D13B3A">
        <w:rPr>
          <w:lang w:val="en-US"/>
        </w:rPr>
        <w:t xml:space="preserve">four </w:t>
      </w:r>
      <w:r w:rsidR="0025369F" w:rsidRPr="00D13B3A">
        <w:rPr>
          <w:lang w:val="en-US"/>
        </w:rPr>
        <w:t xml:space="preserve">approaches are summarized </w:t>
      </w:r>
      <w:r w:rsidR="006C5324" w:rsidRPr="00D13B3A">
        <w:rPr>
          <w:lang w:val="en-US"/>
        </w:rPr>
        <w:t xml:space="preserve">in detail </w:t>
      </w:r>
      <w:r w:rsidR="0025369F" w:rsidRPr="00D13B3A">
        <w:rPr>
          <w:lang w:val="en-US"/>
        </w:rPr>
        <w:t xml:space="preserve">in </w:t>
      </w:r>
      <w:r w:rsidR="0012233E">
        <w:fldChar w:fldCharType="begin"/>
      </w:r>
      <w:r w:rsidR="0012233E">
        <w:instrText xml:space="preserve"> REF _Ref442698344 \h  \* MERGEFORMAT </w:instrText>
      </w:r>
      <w:r w:rsidR="0012233E">
        <w:fldChar w:fldCharType="separate"/>
      </w:r>
      <w:r w:rsidR="00DE6A26" w:rsidRPr="00DE6A26">
        <w:rPr>
          <w:lang w:val="en-US"/>
        </w:rPr>
        <w:t>Table II</w:t>
      </w:r>
      <w:r w:rsidR="0012233E">
        <w:fldChar w:fldCharType="end"/>
      </w:r>
      <w:r w:rsidR="0025369F" w:rsidRPr="00D13B3A">
        <w:rPr>
          <w:lang w:val="en-US"/>
        </w:rPr>
        <w:t xml:space="preserve"> below</w:t>
      </w:r>
      <w:r w:rsidRPr="00D13B3A">
        <w:rPr>
          <w:lang w:val="en-US"/>
        </w:rPr>
        <w:t xml:space="preserve">, paying particular attention to </w:t>
      </w:r>
      <w:r w:rsidR="00FD1418">
        <w:rPr>
          <w:lang w:val="en-US"/>
        </w:rPr>
        <w:t xml:space="preserve">their </w:t>
      </w:r>
      <w:r w:rsidR="0025369F" w:rsidRPr="00D13B3A">
        <w:rPr>
          <w:lang w:val="en-US"/>
        </w:rPr>
        <w:t>data availability</w:t>
      </w:r>
      <w:r w:rsidR="002E2CEC" w:rsidRPr="00D13B3A">
        <w:rPr>
          <w:lang w:val="en-US"/>
        </w:rPr>
        <w:t xml:space="preserve"> and comparability</w:t>
      </w:r>
      <w:r w:rsidR="0025369F" w:rsidRPr="00D13B3A">
        <w:rPr>
          <w:lang w:val="en-US"/>
        </w:rPr>
        <w:t xml:space="preserve">, </w:t>
      </w:r>
      <w:r w:rsidR="002E2CEC" w:rsidRPr="00D13B3A">
        <w:rPr>
          <w:lang w:val="en-US"/>
        </w:rPr>
        <w:t xml:space="preserve">geographic coverage, level </w:t>
      </w:r>
      <w:r w:rsidR="0025369F" w:rsidRPr="00D13B3A">
        <w:rPr>
          <w:lang w:val="en-US"/>
        </w:rPr>
        <w:t xml:space="preserve">disaggregation, </w:t>
      </w:r>
      <w:r w:rsidR="002E2CEC" w:rsidRPr="00D13B3A">
        <w:rPr>
          <w:lang w:val="en-US"/>
        </w:rPr>
        <w:t>and sectoral coverage</w:t>
      </w:r>
      <w:r w:rsidRPr="00D13B3A">
        <w:rPr>
          <w:lang w:val="en-US"/>
        </w:rPr>
        <w:t>.</w:t>
      </w:r>
    </w:p>
    <w:p w:rsidR="005406CB" w:rsidRPr="00D13B3A" w:rsidRDefault="005406CB" w:rsidP="005406CB">
      <w:pPr>
        <w:pStyle w:val="Table"/>
      </w:pPr>
      <w:bookmarkStart w:id="31" w:name="_Ref442698344"/>
      <w:bookmarkStart w:id="32" w:name="_Toc494032905"/>
      <w:r w:rsidRPr="00D13B3A">
        <w:t xml:space="preserve">Table </w:t>
      </w:r>
      <w:r w:rsidR="0012233E">
        <w:rPr>
          <w:noProof/>
        </w:rPr>
        <w:fldChar w:fldCharType="begin"/>
      </w:r>
      <w:r w:rsidR="0012233E">
        <w:rPr>
          <w:noProof/>
        </w:rPr>
        <w:instrText xml:space="preserve"> SEQ Table \* ARABIC \* ROMAN </w:instrText>
      </w:r>
      <w:r w:rsidR="0012233E">
        <w:rPr>
          <w:noProof/>
        </w:rPr>
        <w:fldChar w:fldCharType="separate"/>
      </w:r>
      <w:r w:rsidR="00DE6A26">
        <w:rPr>
          <w:noProof/>
        </w:rPr>
        <w:t>II</w:t>
      </w:r>
      <w:r w:rsidR="0012233E">
        <w:rPr>
          <w:noProof/>
        </w:rPr>
        <w:fldChar w:fldCharType="end"/>
      </w:r>
      <w:bookmarkEnd w:id="31"/>
      <w:r w:rsidRPr="00D13B3A">
        <w:t xml:space="preserve"> – comparison of the several approaches found in literature to empirically estimate the impact in international trade of the international fragmentation of production</w:t>
      </w:r>
      <w:bookmarkEnd w:id="32"/>
      <w:r w:rsidRPr="00D13B3A">
        <w:t xml:space="preserve"> </w:t>
      </w:r>
    </w:p>
    <w:tbl>
      <w:tblPr>
        <w:tblStyle w:val="TabelacomGrelha"/>
        <w:tblW w:w="8962" w:type="dxa"/>
        <w:tblInd w:w="-34" w:type="dxa"/>
        <w:tblLook w:val="04A0" w:firstRow="1" w:lastRow="0" w:firstColumn="1" w:lastColumn="0" w:noHBand="0" w:noVBand="1"/>
      </w:tblPr>
      <w:tblGrid>
        <w:gridCol w:w="2046"/>
        <w:gridCol w:w="1729"/>
        <w:gridCol w:w="1729"/>
        <w:gridCol w:w="1729"/>
        <w:gridCol w:w="1729"/>
      </w:tblGrid>
      <w:tr w:rsidR="005406CB" w:rsidRPr="00D13B3A" w:rsidTr="005406CB">
        <w:tc>
          <w:tcPr>
            <w:tcW w:w="2046" w:type="dxa"/>
            <w:tcBorders>
              <w:top w:val="nil"/>
              <w:left w:val="nil"/>
            </w:tcBorders>
          </w:tcPr>
          <w:p w:rsidR="005406CB" w:rsidRPr="00D13B3A" w:rsidRDefault="005406CB" w:rsidP="00536B2C">
            <w:pPr>
              <w:rPr>
                <w:sz w:val="18"/>
                <w:szCs w:val="18"/>
                <w:lang w:val="en-US"/>
              </w:rPr>
            </w:pPr>
          </w:p>
        </w:tc>
        <w:tc>
          <w:tcPr>
            <w:tcW w:w="1729" w:type="dxa"/>
          </w:tcPr>
          <w:p w:rsidR="005406CB" w:rsidRPr="00D13B3A" w:rsidRDefault="005406CB" w:rsidP="00536B2C">
            <w:pPr>
              <w:jc w:val="center"/>
              <w:rPr>
                <w:b/>
                <w:sz w:val="18"/>
                <w:szCs w:val="18"/>
                <w:lang w:val="en-US"/>
              </w:rPr>
            </w:pPr>
            <w:r w:rsidRPr="00D13B3A">
              <w:rPr>
                <w:b/>
                <w:sz w:val="18"/>
                <w:szCs w:val="18"/>
                <w:lang w:val="en-US"/>
              </w:rPr>
              <w:t>Data availability and international comparability</w:t>
            </w:r>
          </w:p>
        </w:tc>
        <w:tc>
          <w:tcPr>
            <w:tcW w:w="1729" w:type="dxa"/>
          </w:tcPr>
          <w:p w:rsidR="005406CB" w:rsidRPr="00D13B3A" w:rsidRDefault="005406CB" w:rsidP="00536B2C">
            <w:pPr>
              <w:jc w:val="center"/>
              <w:rPr>
                <w:b/>
                <w:sz w:val="18"/>
                <w:szCs w:val="18"/>
                <w:lang w:val="en-US"/>
              </w:rPr>
            </w:pPr>
            <w:r w:rsidRPr="00D13B3A">
              <w:rPr>
                <w:b/>
                <w:sz w:val="18"/>
                <w:szCs w:val="18"/>
                <w:lang w:val="en-US"/>
              </w:rPr>
              <w:t>Geographic coverage</w:t>
            </w:r>
          </w:p>
        </w:tc>
        <w:tc>
          <w:tcPr>
            <w:tcW w:w="1729" w:type="dxa"/>
          </w:tcPr>
          <w:p w:rsidR="005406CB" w:rsidRPr="00D13B3A" w:rsidRDefault="005406CB" w:rsidP="00536B2C">
            <w:pPr>
              <w:jc w:val="center"/>
              <w:rPr>
                <w:b/>
                <w:sz w:val="18"/>
                <w:szCs w:val="18"/>
                <w:lang w:val="en-US"/>
              </w:rPr>
            </w:pPr>
            <w:r w:rsidRPr="00D13B3A">
              <w:rPr>
                <w:b/>
                <w:sz w:val="18"/>
                <w:szCs w:val="18"/>
                <w:lang w:val="en-US"/>
              </w:rPr>
              <w:t>Level of disaggregation</w:t>
            </w:r>
          </w:p>
        </w:tc>
        <w:tc>
          <w:tcPr>
            <w:tcW w:w="1729" w:type="dxa"/>
          </w:tcPr>
          <w:p w:rsidR="005406CB" w:rsidRPr="00D13B3A" w:rsidRDefault="005406CB" w:rsidP="00536B2C">
            <w:pPr>
              <w:jc w:val="center"/>
              <w:rPr>
                <w:b/>
                <w:sz w:val="18"/>
                <w:szCs w:val="18"/>
                <w:lang w:val="en-US"/>
              </w:rPr>
            </w:pPr>
            <w:r w:rsidRPr="00D13B3A">
              <w:rPr>
                <w:b/>
                <w:sz w:val="18"/>
                <w:szCs w:val="18"/>
                <w:lang w:val="en-US"/>
              </w:rPr>
              <w:t>Sectoral coverage</w:t>
            </w:r>
          </w:p>
        </w:tc>
      </w:tr>
      <w:tr w:rsidR="005406CB" w:rsidRPr="00D13B3A" w:rsidTr="005406CB">
        <w:tc>
          <w:tcPr>
            <w:tcW w:w="2046" w:type="dxa"/>
          </w:tcPr>
          <w:p w:rsidR="005406CB" w:rsidRPr="00D13B3A" w:rsidRDefault="005406CB" w:rsidP="00536B2C">
            <w:pPr>
              <w:rPr>
                <w:sz w:val="18"/>
                <w:szCs w:val="18"/>
                <w:lang w:val="en-US"/>
              </w:rPr>
            </w:pPr>
            <w:r w:rsidRPr="00D13B3A">
              <w:rPr>
                <w:b/>
                <w:sz w:val="18"/>
                <w:szCs w:val="18"/>
                <w:lang w:val="en-US"/>
              </w:rPr>
              <w:t>Statistics of international trade in parts and components</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Very 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Very 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Low</w:t>
            </w:r>
          </w:p>
        </w:tc>
      </w:tr>
      <w:tr w:rsidR="005406CB" w:rsidRPr="00D13B3A" w:rsidTr="005406CB">
        <w:tc>
          <w:tcPr>
            <w:tcW w:w="2046" w:type="dxa"/>
          </w:tcPr>
          <w:p w:rsidR="005406CB" w:rsidRPr="00D13B3A" w:rsidRDefault="005406CB" w:rsidP="00536B2C">
            <w:pPr>
              <w:rPr>
                <w:sz w:val="18"/>
                <w:szCs w:val="18"/>
                <w:lang w:val="en-US"/>
              </w:rPr>
            </w:pPr>
            <w:r w:rsidRPr="00D13B3A">
              <w:rPr>
                <w:b/>
                <w:sz w:val="18"/>
                <w:szCs w:val="18"/>
                <w:lang w:val="en-US"/>
              </w:rPr>
              <w:t>Customs statistics of international trade for processing goods</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Low</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Low</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Very 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Low</w:t>
            </w:r>
          </w:p>
        </w:tc>
      </w:tr>
      <w:tr w:rsidR="005406CB" w:rsidRPr="00D13B3A" w:rsidTr="005406CB">
        <w:tc>
          <w:tcPr>
            <w:tcW w:w="2046" w:type="dxa"/>
          </w:tcPr>
          <w:p w:rsidR="005406CB" w:rsidRPr="00D13B3A" w:rsidRDefault="005406CB" w:rsidP="00536B2C">
            <w:pPr>
              <w:rPr>
                <w:b/>
                <w:sz w:val="18"/>
                <w:szCs w:val="18"/>
                <w:lang w:val="en-US"/>
              </w:rPr>
            </w:pPr>
            <w:r w:rsidRPr="00D13B3A">
              <w:rPr>
                <w:b/>
                <w:sz w:val="18"/>
                <w:szCs w:val="18"/>
                <w:lang w:val="en-US"/>
              </w:rPr>
              <w:t>Firm-level data</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Low</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Low</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Very 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Low</w:t>
            </w:r>
          </w:p>
        </w:tc>
      </w:tr>
      <w:tr w:rsidR="005406CB" w:rsidRPr="00D13B3A" w:rsidTr="005406CB">
        <w:tc>
          <w:tcPr>
            <w:tcW w:w="2046" w:type="dxa"/>
          </w:tcPr>
          <w:p w:rsidR="005406CB" w:rsidRPr="00D13B3A" w:rsidRDefault="005406CB" w:rsidP="00536B2C">
            <w:pPr>
              <w:rPr>
                <w:b/>
                <w:sz w:val="18"/>
                <w:szCs w:val="18"/>
                <w:lang w:val="en-US"/>
              </w:rPr>
            </w:pPr>
            <w:r w:rsidRPr="00D13B3A">
              <w:rPr>
                <w:b/>
                <w:sz w:val="18"/>
                <w:szCs w:val="18"/>
                <w:lang w:val="en-US"/>
              </w:rPr>
              <w:t>National accounts and internationally-linked IO databases</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Very 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Good</w:t>
            </w:r>
          </w:p>
        </w:tc>
        <w:tc>
          <w:tcPr>
            <w:tcW w:w="1729" w:type="dxa"/>
            <w:vAlign w:val="center"/>
          </w:tcPr>
          <w:p w:rsidR="005406CB" w:rsidRPr="00D13B3A" w:rsidRDefault="005406CB" w:rsidP="00536B2C">
            <w:pPr>
              <w:jc w:val="center"/>
              <w:rPr>
                <w:sz w:val="18"/>
                <w:szCs w:val="18"/>
                <w:lang w:val="en-US"/>
              </w:rPr>
            </w:pPr>
            <w:r w:rsidRPr="00D13B3A">
              <w:rPr>
                <w:sz w:val="18"/>
                <w:szCs w:val="18"/>
                <w:lang w:val="en-US"/>
              </w:rPr>
              <w:t>Very good</w:t>
            </w:r>
          </w:p>
        </w:tc>
      </w:tr>
    </w:tbl>
    <w:p w:rsidR="005406CB" w:rsidRPr="00D13B3A" w:rsidRDefault="005406CB" w:rsidP="005406CB">
      <w:pPr>
        <w:pStyle w:val="Default"/>
        <w:spacing w:before="120" w:after="240" w:line="300" w:lineRule="atLeast"/>
        <w:jc w:val="center"/>
        <w:rPr>
          <w:rFonts w:ascii="Times New Roman" w:hAnsi="Times New Roman" w:cs="Times New Roman"/>
          <w:sz w:val="16"/>
          <w:szCs w:val="16"/>
          <w:lang w:val="en-US"/>
        </w:rPr>
      </w:pPr>
      <w:r w:rsidRPr="00D13B3A">
        <w:rPr>
          <w:rFonts w:ascii="Times New Roman" w:hAnsi="Times New Roman" w:cs="Times New Roman"/>
          <w:sz w:val="16"/>
          <w:szCs w:val="16"/>
          <w:lang w:val="en-US"/>
        </w:rPr>
        <w:t>Source: Author.</w:t>
      </w:r>
    </w:p>
    <w:p w:rsidR="005406CB" w:rsidRPr="00D13B3A" w:rsidRDefault="005406CB" w:rsidP="0025369F">
      <w:pPr>
        <w:pStyle w:val="Corpodetexto"/>
        <w:spacing w:line="480" w:lineRule="auto"/>
        <w:ind w:firstLine="709"/>
        <w:rPr>
          <w:lang w:val="en-US"/>
        </w:rPr>
      </w:pPr>
    </w:p>
    <w:p w:rsidR="00D83D7D" w:rsidRPr="00D13B3A" w:rsidRDefault="009D48BC" w:rsidP="0025369F">
      <w:pPr>
        <w:pStyle w:val="Corpodetexto"/>
        <w:spacing w:line="480" w:lineRule="auto"/>
        <w:ind w:firstLine="709"/>
        <w:rPr>
          <w:lang w:val="en-US"/>
        </w:rPr>
      </w:pPr>
      <w:r w:rsidRPr="00D13B3A">
        <w:rPr>
          <w:lang w:val="en-US"/>
        </w:rPr>
        <w:t xml:space="preserve">The first type of data used by authors to empirically estimate the impact in international trade of the international fragmentation of production was </w:t>
      </w:r>
      <w:r w:rsidR="00FF21A4" w:rsidRPr="00D13B3A">
        <w:rPr>
          <w:lang w:val="en-US"/>
        </w:rPr>
        <w:t>based on t</w:t>
      </w:r>
      <w:r w:rsidR="00317115" w:rsidRPr="00D13B3A">
        <w:rPr>
          <w:lang w:val="en-US"/>
        </w:rPr>
        <w:t xml:space="preserve">he conventional </w:t>
      </w:r>
      <w:r w:rsidRPr="00D13B3A">
        <w:rPr>
          <w:lang w:val="en-US"/>
        </w:rPr>
        <w:t xml:space="preserve">international trade </w:t>
      </w:r>
      <w:r w:rsidR="007C0E34">
        <w:rPr>
          <w:lang w:val="en-US"/>
        </w:rPr>
        <w:t xml:space="preserve">statistics. They were used </w:t>
      </w:r>
      <w:r w:rsidR="00317115" w:rsidRPr="00D13B3A">
        <w:rPr>
          <w:lang w:val="en-US"/>
        </w:rPr>
        <w:t>to assess the relative weight of goods classified as parts and components in total trade flows</w:t>
      </w:r>
      <w:r w:rsidRPr="00D13B3A">
        <w:rPr>
          <w:lang w:val="en-US"/>
        </w:rPr>
        <w:t>, due to the</w:t>
      </w:r>
      <w:r w:rsidR="00FF21A4" w:rsidRPr="00D13B3A">
        <w:rPr>
          <w:lang w:val="en-US"/>
        </w:rPr>
        <w:t>ir</w:t>
      </w:r>
      <w:r w:rsidRPr="00D13B3A">
        <w:rPr>
          <w:lang w:val="en-US"/>
        </w:rPr>
        <w:t xml:space="preserve"> large coverage and availability of data, both in </w:t>
      </w:r>
      <w:r w:rsidR="00317115" w:rsidRPr="00D13B3A">
        <w:rPr>
          <w:lang w:val="en-US"/>
        </w:rPr>
        <w:t xml:space="preserve">terms of </w:t>
      </w:r>
      <w:r w:rsidRPr="00D13B3A">
        <w:rPr>
          <w:lang w:val="en-US"/>
        </w:rPr>
        <w:t>time</w:t>
      </w:r>
      <w:r w:rsidR="00317115" w:rsidRPr="00D13B3A">
        <w:rPr>
          <w:lang w:val="en-US"/>
        </w:rPr>
        <w:t xml:space="preserve"> and space</w:t>
      </w:r>
      <w:r w:rsidRPr="00D13B3A">
        <w:rPr>
          <w:lang w:val="en-US"/>
        </w:rPr>
        <w:t xml:space="preserve">, </w:t>
      </w:r>
      <w:r w:rsidR="007C0E34">
        <w:rPr>
          <w:lang w:val="en-US"/>
        </w:rPr>
        <w:t xml:space="preserve">and therefore endowed with easy </w:t>
      </w:r>
      <w:r w:rsidRPr="00D13B3A">
        <w:rPr>
          <w:lang w:val="en-US"/>
        </w:rPr>
        <w:t>international comparability</w:t>
      </w:r>
      <w:r w:rsidR="00B13A40" w:rsidRPr="00D13B3A">
        <w:rPr>
          <w:vertAlign w:val="superscript"/>
          <w:lang w:val="en-US"/>
        </w:rPr>
        <w:footnoteReference w:id="14"/>
      </w:r>
      <w:r w:rsidR="00FF21A4" w:rsidRPr="00D13B3A">
        <w:rPr>
          <w:vertAlign w:val="superscript"/>
          <w:lang w:val="en-US"/>
        </w:rPr>
        <w:t>,</w:t>
      </w:r>
      <w:r w:rsidR="00FF21A4" w:rsidRPr="00D13B3A">
        <w:rPr>
          <w:vertAlign w:val="superscript"/>
          <w:lang w:val="en-US"/>
        </w:rPr>
        <w:footnoteReference w:id="15"/>
      </w:r>
      <w:r w:rsidRPr="00D13B3A">
        <w:rPr>
          <w:lang w:val="en-US"/>
        </w:rPr>
        <w:t xml:space="preserve">. </w:t>
      </w:r>
      <w:r w:rsidR="00D83D7D" w:rsidRPr="00D13B3A">
        <w:rPr>
          <w:lang w:val="en-US"/>
        </w:rPr>
        <w:t xml:space="preserve">However, the drawbacks </w:t>
      </w:r>
      <w:r w:rsidR="001F70F3">
        <w:rPr>
          <w:lang w:val="en-US"/>
        </w:rPr>
        <w:t xml:space="preserve">observed in </w:t>
      </w:r>
      <w:r w:rsidR="00D83D7D" w:rsidRPr="00D13B3A">
        <w:rPr>
          <w:lang w:val="en-US"/>
        </w:rPr>
        <w:t>these data are that (</w:t>
      </w:r>
      <w:proofErr w:type="spellStart"/>
      <w:r w:rsidR="00D83D7D" w:rsidRPr="00D13B3A">
        <w:rPr>
          <w:lang w:val="en-US"/>
        </w:rPr>
        <w:t>i</w:t>
      </w:r>
      <w:proofErr w:type="spellEnd"/>
      <w:r w:rsidR="00D83D7D" w:rsidRPr="00D13B3A">
        <w:rPr>
          <w:lang w:val="en-US"/>
        </w:rPr>
        <w:t xml:space="preserve">) </w:t>
      </w:r>
      <w:r w:rsidR="0006583E" w:rsidRPr="00D13B3A">
        <w:rPr>
          <w:lang w:val="en-US"/>
        </w:rPr>
        <w:t>the reliability of its results depend</w:t>
      </w:r>
      <w:r w:rsidR="00D83D7D" w:rsidRPr="00D13B3A">
        <w:rPr>
          <w:lang w:val="en-US"/>
        </w:rPr>
        <w:t>s</w:t>
      </w:r>
      <w:r w:rsidR="0006583E" w:rsidRPr="00D13B3A">
        <w:rPr>
          <w:lang w:val="en-US"/>
        </w:rPr>
        <w:t xml:space="preserve"> on the level of disaggregation of the statistics, which should ideally be based on an adequate distinction between intermediate and final goods</w:t>
      </w:r>
      <w:r w:rsidR="0006583E" w:rsidRPr="00D13B3A">
        <w:rPr>
          <w:vertAlign w:val="superscript"/>
          <w:lang w:val="en-US"/>
        </w:rPr>
        <w:footnoteReference w:id="16"/>
      </w:r>
      <w:r w:rsidR="00D83D7D" w:rsidRPr="00D13B3A">
        <w:rPr>
          <w:lang w:val="en-US"/>
        </w:rPr>
        <w:t xml:space="preserve">; (ii) they are based on </w:t>
      </w:r>
      <w:r w:rsidR="001F70F3">
        <w:rPr>
          <w:lang w:val="en-US"/>
        </w:rPr>
        <w:t>an</w:t>
      </w:r>
      <w:r w:rsidR="00D83D7D" w:rsidRPr="00D13B3A">
        <w:rPr>
          <w:lang w:val="en-US"/>
        </w:rPr>
        <w:t xml:space="preserve"> (arbitrary) assessment of which goods and products can be considered intermediate </w:t>
      </w:r>
      <w:r w:rsidR="001F70F3">
        <w:rPr>
          <w:lang w:val="en-US"/>
        </w:rPr>
        <w:t xml:space="preserve">or </w:t>
      </w:r>
      <w:r w:rsidR="00D83D7D" w:rsidRPr="00D13B3A">
        <w:rPr>
          <w:lang w:val="en-US"/>
        </w:rPr>
        <w:t xml:space="preserve">final, as mentioned by De Backer &amp; </w:t>
      </w:r>
      <w:proofErr w:type="spellStart"/>
      <w:r w:rsidR="00D83D7D" w:rsidRPr="00D13B3A">
        <w:rPr>
          <w:lang w:val="en-US"/>
        </w:rPr>
        <w:t>Yamano</w:t>
      </w:r>
      <w:proofErr w:type="spellEnd"/>
      <w:r w:rsidR="00D83D7D" w:rsidRPr="00D13B3A">
        <w:rPr>
          <w:lang w:val="en-US"/>
        </w:rPr>
        <w:t xml:space="preserve"> (2007)</w:t>
      </w:r>
      <w:r w:rsidR="001F70F3">
        <w:rPr>
          <w:lang w:val="en-US"/>
        </w:rPr>
        <w:t xml:space="preserve">; and (iii) </w:t>
      </w:r>
      <w:r w:rsidR="001F70F3" w:rsidRPr="00D13B3A">
        <w:rPr>
          <w:lang w:val="en-US"/>
        </w:rPr>
        <w:t>the</w:t>
      </w:r>
      <w:r w:rsidR="001F70F3">
        <w:rPr>
          <w:lang w:val="en-US"/>
        </w:rPr>
        <w:t xml:space="preserve"> early works</w:t>
      </w:r>
      <w:r w:rsidR="001F70F3" w:rsidRPr="00D13B3A">
        <w:rPr>
          <w:lang w:val="en-US"/>
        </w:rPr>
        <w:t xml:space="preserve"> do not cover services</w:t>
      </w:r>
      <w:r w:rsidR="00D83D7D" w:rsidRPr="00D13B3A">
        <w:rPr>
          <w:lang w:val="en-US"/>
        </w:rPr>
        <w:t xml:space="preserve">. </w:t>
      </w:r>
      <w:r w:rsidR="002E2CEC" w:rsidRPr="00D13B3A">
        <w:rPr>
          <w:lang w:val="en-US"/>
        </w:rPr>
        <w:t xml:space="preserve">The emergence of GVCs makes this distinction </w:t>
      </w:r>
      <w:r w:rsidR="002E2CEC" w:rsidRPr="00D13B3A">
        <w:rPr>
          <w:lang w:val="en-US"/>
        </w:rPr>
        <w:lastRenderedPageBreak/>
        <w:t>even less clear, as close-to-final products are often further processed in subsequent production and distribution stages within companies</w:t>
      </w:r>
      <w:r w:rsidR="002E2CEC" w:rsidRPr="00D13B3A">
        <w:rPr>
          <w:rStyle w:val="Refdenotaderodap"/>
          <w:lang w:val="en-US"/>
        </w:rPr>
        <w:footnoteReference w:id="17"/>
      </w:r>
      <w:r w:rsidR="002E2CEC" w:rsidRPr="00D13B3A">
        <w:rPr>
          <w:lang w:val="en-US"/>
        </w:rPr>
        <w:t>.</w:t>
      </w:r>
      <w:r w:rsidR="00B13A40" w:rsidRPr="00D13B3A">
        <w:rPr>
          <w:lang w:val="en-US"/>
        </w:rPr>
        <w:t xml:space="preserve"> In addition, these data do not differentiate between assembling activities; imports of final goods used in domestic production; re-imports of final goods that were previously exported by local firms; imports of goods that could have been alternatively produced and consumed domestically; and imports of goods that could have been alternatively produced domestically and then re-exported to third markets.</w:t>
      </w:r>
    </w:p>
    <w:p w:rsidR="009D48BC" w:rsidRPr="00D13B3A" w:rsidRDefault="00FF21A4" w:rsidP="0025369F">
      <w:pPr>
        <w:pStyle w:val="Corpodetexto"/>
        <w:spacing w:line="480" w:lineRule="auto"/>
        <w:ind w:firstLine="709"/>
        <w:rPr>
          <w:lang w:val="en-US"/>
        </w:rPr>
      </w:pPr>
      <w:r w:rsidRPr="00D13B3A">
        <w:rPr>
          <w:lang w:val="en-US"/>
        </w:rPr>
        <w:t>The second type of data used by authors to empirically estimate the impact in international trade of the international fragmentation of production was based on the customs statistics of international trade for processing goods</w:t>
      </w:r>
      <w:r w:rsidR="00FA5C4B" w:rsidRPr="00D13B3A">
        <w:rPr>
          <w:vertAlign w:val="superscript"/>
          <w:lang w:val="en-US"/>
        </w:rPr>
        <w:footnoteReference w:id="18"/>
      </w:r>
      <w:r w:rsidR="00FA5C4B" w:rsidRPr="00D13B3A">
        <w:rPr>
          <w:vertAlign w:val="superscript"/>
          <w:lang w:val="en-US"/>
        </w:rPr>
        <w:t>,</w:t>
      </w:r>
      <w:r w:rsidR="00FA5C4B" w:rsidRPr="00D13B3A">
        <w:rPr>
          <w:vertAlign w:val="superscript"/>
          <w:lang w:val="en-US"/>
        </w:rPr>
        <w:footnoteReference w:id="19"/>
      </w:r>
      <w:r w:rsidRPr="00D13B3A">
        <w:rPr>
          <w:lang w:val="en-US"/>
        </w:rPr>
        <w:t>. These data w</w:t>
      </w:r>
      <w:r w:rsidR="006C5324">
        <w:rPr>
          <w:lang w:val="en-US"/>
        </w:rPr>
        <w:t>ere</w:t>
      </w:r>
      <w:r w:rsidRPr="00D13B3A">
        <w:rPr>
          <w:lang w:val="en-US"/>
        </w:rPr>
        <w:t xml:space="preserve"> collected under a country’s customs legal framework for purposes of granting tax exemption </w:t>
      </w:r>
      <w:r w:rsidR="00790507">
        <w:rPr>
          <w:lang w:val="en-US"/>
        </w:rPr>
        <w:t xml:space="preserve">or </w:t>
      </w:r>
      <w:r w:rsidRPr="00D13B3A">
        <w:rPr>
          <w:lang w:val="en-US"/>
        </w:rPr>
        <w:t xml:space="preserve">reduction depending on the domestic input content of re-imported goods. It therefore follows very closely the geographical origin of the inputs included. </w:t>
      </w:r>
      <w:r w:rsidR="00790507">
        <w:rPr>
          <w:lang w:val="en-US"/>
        </w:rPr>
        <w:t xml:space="preserve">Its </w:t>
      </w:r>
      <w:r w:rsidRPr="00D13B3A">
        <w:rPr>
          <w:lang w:val="en-US"/>
        </w:rPr>
        <w:t>drawbacks are that (</w:t>
      </w:r>
      <w:proofErr w:type="spellStart"/>
      <w:r w:rsidRPr="00D13B3A">
        <w:rPr>
          <w:lang w:val="en-US"/>
        </w:rPr>
        <w:t>i</w:t>
      </w:r>
      <w:proofErr w:type="spellEnd"/>
      <w:r w:rsidRPr="00D13B3A">
        <w:rPr>
          <w:lang w:val="en-US"/>
        </w:rPr>
        <w:t xml:space="preserve">) </w:t>
      </w:r>
      <w:r w:rsidR="003E1816" w:rsidRPr="00D13B3A">
        <w:rPr>
          <w:lang w:val="en-US"/>
        </w:rPr>
        <w:t>coverage is narrow</w:t>
      </w:r>
      <w:r w:rsidR="00FA5C4B" w:rsidRPr="00D13B3A">
        <w:rPr>
          <w:lang w:val="en-US"/>
        </w:rPr>
        <w:t xml:space="preserve"> (data do not cover goods processed overseas nor direct exports to third markets)</w:t>
      </w:r>
      <w:r w:rsidR="00FA5C4B" w:rsidRPr="00D13B3A">
        <w:rPr>
          <w:vertAlign w:val="superscript"/>
          <w:lang w:val="en-US"/>
        </w:rPr>
        <w:footnoteReference w:id="20"/>
      </w:r>
      <w:r w:rsidR="00FA5C4B" w:rsidRPr="00D13B3A">
        <w:rPr>
          <w:lang w:val="en-US"/>
        </w:rPr>
        <w:t xml:space="preserve">; (ii) data do not differentiate between intra-firm and </w:t>
      </w:r>
      <w:r w:rsidR="00FA5C4B" w:rsidRPr="00D13B3A">
        <w:rPr>
          <w:lang w:val="en-US"/>
        </w:rPr>
        <w:lastRenderedPageBreak/>
        <w:t>inter-firm flows; and (iii) international comparability and time consistency of data are low or none.</w:t>
      </w:r>
    </w:p>
    <w:p w:rsidR="00FA5C4B" w:rsidRPr="00D13B3A" w:rsidRDefault="00FA5C4B" w:rsidP="0025369F">
      <w:pPr>
        <w:pStyle w:val="Corpodetexto"/>
        <w:spacing w:line="480" w:lineRule="auto"/>
        <w:ind w:firstLine="709"/>
        <w:rPr>
          <w:lang w:val="en-US"/>
        </w:rPr>
      </w:pPr>
      <w:r w:rsidRPr="00D13B3A">
        <w:rPr>
          <w:lang w:val="en-US"/>
        </w:rPr>
        <w:t xml:space="preserve">The third type </w:t>
      </w:r>
      <w:r w:rsidR="00E3365C" w:rsidRPr="00D13B3A">
        <w:rPr>
          <w:lang w:val="en-US"/>
        </w:rPr>
        <w:t xml:space="preserve">of data used by authors to empirically estimate the impact in international trade of the international fragmentation of production </w:t>
      </w:r>
      <w:r w:rsidRPr="00D13B3A">
        <w:rPr>
          <w:lang w:val="en-US"/>
        </w:rPr>
        <w:t xml:space="preserve">was based on firm-level </w:t>
      </w:r>
      <w:r w:rsidR="00E3365C" w:rsidRPr="00D13B3A">
        <w:rPr>
          <w:lang w:val="en-US"/>
        </w:rPr>
        <w:t xml:space="preserve">detailed </w:t>
      </w:r>
      <w:r w:rsidRPr="00D13B3A">
        <w:rPr>
          <w:lang w:val="en-US"/>
        </w:rPr>
        <w:t>data</w:t>
      </w:r>
      <w:r w:rsidR="00E3365C" w:rsidRPr="00D13B3A">
        <w:rPr>
          <w:lang w:val="en-US"/>
        </w:rPr>
        <w:t xml:space="preserve"> about transactions of a given transnational firm in the countries where that firm operates</w:t>
      </w:r>
      <w:r w:rsidRPr="00D13B3A">
        <w:rPr>
          <w:vertAlign w:val="superscript"/>
          <w:lang w:val="en-US"/>
        </w:rPr>
        <w:footnoteReference w:id="21"/>
      </w:r>
      <w:r w:rsidRPr="00D13B3A">
        <w:rPr>
          <w:vertAlign w:val="superscript"/>
          <w:lang w:val="en-US"/>
        </w:rPr>
        <w:t>,</w:t>
      </w:r>
      <w:r w:rsidRPr="00D13B3A">
        <w:rPr>
          <w:vertAlign w:val="superscript"/>
          <w:lang w:val="en-US"/>
        </w:rPr>
        <w:footnoteReference w:id="22"/>
      </w:r>
      <w:r w:rsidRPr="00D13B3A">
        <w:rPr>
          <w:lang w:val="en-US"/>
        </w:rPr>
        <w:t>.</w:t>
      </w:r>
      <w:r w:rsidR="00E3365C" w:rsidRPr="00D13B3A">
        <w:rPr>
          <w:lang w:val="en-US"/>
        </w:rPr>
        <w:t xml:space="preserve"> </w:t>
      </w:r>
      <w:r w:rsidR="005406CB">
        <w:rPr>
          <w:lang w:val="en-US"/>
        </w:rPr>
        <w:t xml:space="preserve">They are </w:t>
      </w:r>
      <w:r w:rsidR="00E3365C" w:rsidRPr="00D13B3A">
        <w:rPr>
          <w:lang w:val="en-US"/>
        </w:rPr>
        <w:t xml:space="preserve">extremely detailed data, often collected through surveys, so </w:t>
      </w:r>
      <w:r w:rsidR="005406CB">
        <w:rPr>
          <w:lang w:val="en-US"/>
        </w:rPr>
        <w:t xml:space="preserve">they </w:t>
      </w:r>
      <w:r w:rsidR="00E3365C" w:rsidRPr="00D13B3A">
        <w:rPr>
          <w:lang w:val="en-US"/>
        </w:rPr>
        <w:t xml:space="preserve">provide unique information about outsourcing and offshoring. Although limited to a given firm, </w:t>
      </w:r>
      <w:r w:rsidR="005406CB">
        <w:rPr>
          <w:lang w:val="en-US"/>
        </w:rPr>
        <w:t xml:space="preserve">they are </w:t>
      </w:r>
      <w:r w:rsidR="00E3365C" w:rsidRPr="00D13B3A">
        <w:rPr>
          <w:lang w:val="en-US"/>
        </w:rPr>
        <w:t>consistent and allow for international comparability. The</w:t>
      </w:r>
      <w:r w:rsidR="005406CB">
        <w:rPr>
          <w:lang w:val="en-US"/>
        </w:rPr>
        <w:t>ir</w:t>
      </w:r>
      <w:r w:rsidR="00E3365C" w:rsidRPr="00D13B3A">
        <w:rPr>
          <w:lang w:val="en-US"/>
        </w:rPr>
        <w:t xml:space="preserve"> drawbacks are that (</w:t>
      </w:r>
      <w:proofErr w:type="spellStart"/>
      <w:r w:rsidR="00E3365C" w:rsidRPr="00D13B3A">
        <w:rPr>
          <w:lang w:val="en-US"/>
        </w:rPr>
        <w:t>i</w:t>
      </w:r>
      <w:proofErr w:type="spellEnd"/>
      <w:r w:rsidR="00E3365C" w:rsidRPr="00D13B3A">
        <w:rPr>
          <w:lang w:val="en-US"/>
        </w:rPr>
        <w:t>) firms are often reluctant to give information about their operations, especially about relocation decisions; and (ii) geographical and sectoral coverage are very limited, related only to the operations of the firm.</w:t>
      </w:r>
    </w:p>
    <w:p w:rsidR="003A10BE" w:rsidRPr="00D13B3A" w:rsidRDefault="003A10BE" w:rsidP="0025369F">
      <w:pPr>
        <w:pStyle w:val="Corpodetexto"/>
        <w:spacing w:line="480" w:lineRule="auto"/>
        <w:ind w:firstLine="709"/>
        <w:rPr>
          <w:lang w:val="en-US"/>
        </w:rPr>
      </w:pPr>
      <w:r w:rsidRPr="00D13B3A">
        <w:rPr>
          <w:lang w:val="en-US"/>
        </w:rPr>
        <w:t>The fourth type of data used by authors to empirically estimate the impact in international trade of the international fragmentation of production was based on</w:t>
      </w:r>
      <w:r w:rsidR="006A67BA" w:rsidRPr="00D13B3A">
        <w:rPr>
          <w:lang w:val="en-US"/>
        </w:rPr>
        <w:t xml:space="preserve"> national accounts</w:t>
      </w:r>
      <w:r w:rsidR="00D535AB" w:rsidRPr="00D13B3A">
        <w:rPr>
          <w:rStyle w:val="Refdenotaderodap"/>
          <w:lang w:val="en-US"/>
        </w:rPr>
        <w:footnoteReference w:id="23"/>
      </w:r>
      <w:r w:rsidR="006A67BA" w:rsidRPr="00D13B3A">
        <w:rPr>
          <w:lang w:val="en-US"/>
        </w:rPr>
        <w:t xml:space="preserve"> and, more recently, on national IO matrices linked via international trade data. IO matrices classify goods per sectors according to their use (input or final demand) and not to their theoretical classification. Coverage is wide, including services.</w:t>
      </w:r>
      <w:r w:rsidR="0057393D" w:rsidRPr="00D13B3A">
        <w:rPr>
          <w:lang w:val="en-US"/>
        </w:rPr>
        <w:t xml:space="preserve"> Consistency and international comparability are good. In addition, IO matrices easily allow for sectoral analysis</w:t>
      </w:r>
      <w:r w:rsidR="005C7C3F" w:rsidRPr="00D13B3A">
        <w:rPr>
          <w:lang w:val="en-US"/>
        </w:rPr>
        <w:t>. They also provide disaggregated information about offshoring and about the provision of both domestic and foreign intermediates</w:t>
      </w:r>
      <w:r w:rsidR="0057393D" w:rsidRPr="00D13B3A">
        <w:rPr>
          <w:lang w:val="en-US"/>
        </w:rPr>
        <w:t>. The drawbacks are that (</w:t>
      </w:r>
      <w:proofErr w:type="spellStart"/>
      <w:r w:rsidR="0057393D" w:rsidRPr="00D13B3A">
        <w:rPr>
          <w:lang w:val="en-US"/>
        </w:rPr>
        <w:t>i</w:t>
      </w:r>
      <w:proofErr w:type="spellEnd"/>
      <w:r w:rsidR="0057393D" w:rsidRPr="00D13B3A">
        <w:rPr>
          <w:lang w:val="en-US"/>
        </w:rPr>
        <w:t xml:space="preserve">) </w:t>
      </w:r>
      <w:r w:rsidR="00B44F62" w:rsidRPr="00D13B3A">
        <w:rPr>
          <w:lang w:val="en-US"/>
        </w:rPr>
        <w:lastRenderedPageBreak/>
        <w:t>internationally-linked IO databases are only available in a consistent manner and for a significant number of countries and sectors since 201</w:t>
      </w:r>
      <w:r w:rsidR="005406CB">
        <w:rPr>
          <w:lang w:val="en-US"/>
        </w:rPr>
        <w:t>3</w:t>
      </w:r>
      <w:r w:rsidR="00B44F62" w:rsidRPr="00D13B3A">
        <w:rPr>
          <w:lang w:val="en-US"/>
        </w:rPr>
        <w:t xml:space="preserve"> (although they include data that go back to the 90s); and (ii) IO matrices do not show second-round effects, i.e. they do not include data related to the inputs of the inputs.</w:t>
      </w:r>
    </w:p>
    <w:p w:rsidR="0025369F" w:rsidRPr="00D13B3A" w:rsidRDefault="00781CE6" w:rsidP="0025369F">
      <w:pPr>
        <w:pStyle w:val="Corpodetexto"/>
        <w:spacing w:line="480" w:lineRule="auto"/>
        <w:ind w:firstLine="709"/>
        <w:rPr>
          <w:color w:val="000000"/>
          <w:lang w:val="en-US"/>
        </w:rPr>
      </w:pPr>
      <w:r>
        <w:rPr>
          <w:lang w:val="en-US"/>
        </w:rPr>
        <w:t>W</w:t>
      </w:r>
      <w:r w:rsidR="00854670" w:rsidRPr="00D13B3A">
        <w:rPr>
          <w:lang w:val="en-US"/>
        </w:rPr>
        <w:t xml:space="preserve">e observe that </w:t>
      </w:r>
      <w:r w:rsidR="0025369F" w:rsidRPr="00D13B3A">
        <w:rPr>
          <w:lang w:val="en-US"/>
        </w:rPr>
        <w:t xml:space="preserve">the three first </w:t>
      </w:r>
      <w:r w:rsidR="00854670" w:rsidRPr="00D13B3A">
        <w:rPr>
          <w:lang w:val="en-US"/>
        </w:rPr>
        <w:t xml:space="preserve">approaches </w:t>
      </w:r>
      <w:r w:rsidR="0025369F" w:rsidRPr="00D13B3A">
        <w:rPr>
          <w:lang w:val="en-US"/>
        </w:rPr>
        <w:t xml:space="preserve">present significant shortcomings and partiality in the information they provide to assess the international fragmentation of production. Most </w:t>
      </w:r>
      <w:r w:rsidR="00973283" w:rsidRPr="00D13B3A">
        <w:rPr>
          <w:lang w:val="en-US"/>
        </w:rPr>
        <w:t xml:space="preserve">drawbacks </w:t>
      </w:r>
      <w:r w:rsidR="0025369F" w:rsidRPr="00D13B3A">
        <w:rPr>
          <w:lang w:val="en-US"/>
        </w:rPr>
        <w:t xml:space="preserve">are nevertheless </w:t>
      </w:r>
      <w:r w:rsidR="00973283" w:rsidRPr="00D13B3A">
        <w:rPr>
          <w:lang w:val="en-US"/>
        </w:rPr>
        <w:t xml:space="preserve">overcome by </w:t>
      </w:r>
      <w:r w:rsidR="0025369F" w:rsidRPr="00D13B3A">
        <w:rPr>
          <w:lang w:val="en-US"/>
        </w:rPr>
        <w:t>internationally</w:t>
      </w:r>
      <w:r w:rsidR="00973283" w:rsidRPr="00D13B3A">
        <w:rPr>
          <w:lang w:val="en-US"/>
        </w:rPr>
        <w:t>-</w:t>
      </w:r>
      <w:r w:rsidR="0025369F" w:rsidRPr="00D13B3A">
        <w:rPr>
          <w:lang w:val="en-US"/>
        </w:rPr>
        <w:t>linked IO databases, such as the WIOD and the M</w:t>
      </w:r>
      <w:r w:rsidR="005406CB">
        <w:rPr>
          <w:lang w:val="en-US"/>
        </w:rPr>
        <w:t>ade-in-the-World Initiative (M</w:t>
      </w:r>
      <w:r w:rsidR="0025369F" w:rsidRPr="00D13B3A">
        <w:rPr>
          <w:lang w:val="en-US"/>
        </w:rPr>
        <w:t>IWI</w:t>
      </w:r>
      <w:r w:rsidR="005406CB">
        <w:rPr>
          <w:lang w:val="en-US"/>
        </w:rPr>
        <w:t>)</w:t>
      </w:r>
      <w:r w:rsidR="0025369F" w:rsidRPr="00D13B3A">
        <w:rPr>
          <w:lang w:val="en-US"/>
        </w:rPr>
        <w:t xml:space="preserve">. </w:t>
      </w:r>
      <w:r w:rsidR="00973283" w:rsidRPr="00D13B3A">
        <w:rPr>
          <w:lang w:val="en-US"/>
        </w:rPr>
        <w:t>These matrices represent</w:t>
      </w:r>
      <w:r w:rsidR="0025369F" w:rsidRPr="00D13B3A">
        <w:rPr>
          <w:lang w:val="en-US"/>
        </w:rPr>
        <w:t xml:space="preserve"> a critical innovation towards properly measuring the international fragmentation of production</w:t>
      </w:r>
      <w:r w:rsidR="005406CB">
        <w:rPr>
          <w:lang w:val="en-US"/>
        </w:rPr>
        <w:t>,</w:t>
      </w:r>
      <w:r w:rsidR="0025369F" w:rsidRPr="00D13B3A">
        <w:rPr>
          <w:lang w:val="en-US"/>
        </w:rPr>
        <w:t xml:space="preserve"> </w:t>
      </w:r>
      <w:r w:rsidR="0025369F" w:rsidRPr="00D13B3A">
        <w:rPr>
          <w:color w:val="000000"/>
          <w:lang w:val="en-US"/>
        </w:rPr>
        <w:t>as they group goods and services in inputs and final demand according to the use they had in the economy</w:t>
      </w:r>
      <w:r w:rsidR="00973283" w:rsidRPr="00D13B3A">
        <w:rPr>
          <w:color w:val="000000"/>
          <w:lang w:val="en-US"/>
        </w:rPr>
        <w:t xml:space="preserve"> (</w:t>
      </w:r>
      <w:r w:rsidR="0025369F" w:rsidRPr="00D13B3A">
        <w:rPr>
          <w:color w:val="000000"/>
          <w:lang w:val="en-US"/>
        </w:rPr>
        <w:t>unlike the statistics of international trade, which rely on the standard and descriptive classification given to any product</w:t>
      </w:r>
      <w:r w:rsidR="00973283" w:rsidRPr="00D13B3A">
        <w:rPr>
          <w:color w:val="000000"/>
          <w:lang w:val="en-US"/>
        </w:rPr>
        <w:t xml:space="preserve">, </w:t>
      </w:r>
      <w:r w:rsidR="0025369F" w:rsidRPr="00D13B3A">
        <w:rPr>
          <w:color w:val="000000"/>
          <w:lang w:val="en-US"/>
        </w:rPr>
        <w:t>regardless of the way that the product was actually used</w:t>
      </w:r>
      <w:r w:rsidR="005C7C3F" w:rsidRPr="00D13B3A">
        <w:rPr>
          <w:color w:val="000000"/>
          <w:lang w:val="en-US"/>
        </w:rPr>
        <w:t>, even for highly disaggregated levels of information</w:t>
      </w:r>
      <w:r w:rsidR="0025369F" w:rsidRPr="00D13B3A">
        <w:rPr>
          <w:color w:val="000000"/>
          <w:lang w:val="en-US"/>
        </w:rPr>
        <w:t>)</w:t>
      </w:r>
      <w:r w:rsidR="0025369F" w:rsidRPr="00D13B3A">
        <w:rPr>
          <w:lang w:val="en-US"/>
        </w:rPr>
        <w:t xml:space="preserve">. </w:t>
      </w:r>
      <w:r w:rsidR="0025369F" w:rsidRPr="00D13B3A">
        <w:rPr>
          <w:color w:val="000000"/>
          <w:lang w:val="en-US"/>
        </w:rPr>
        <w:t>This difference is crucial, since virtually all products and services are used in practical terms both as inputs and as final consumption.</w:t>
      </w:r>
    </w:p>
    <w:p w:rsidR="0010113D" w:rsidRDefault="0025369F" w:rsidP="00D905D1">
      <w:pPr>
        <w:pStyle w:val="Legenda"/>
        <w:spacing w:before="0" w:after="0" w:line="480" w:lineRule="auto"/>
        <w:ind w:firstLine="709"/>
        <w:jc w:val="both"/>
        <w:rPr>
          <w:b w:val="0"/>
          <w:sz w:val="24"/>
          <w:szCs w:val="24"/>
          <w:lang w:val="en-US"/>
        </w:rPr>
      </w:pPr>
      <w:r w:rsidRPr="00D13B3A">
        <w:rPr>
          <w:b w:val="0"/>
          <w:sz w:val="24"/>
          <w:szCs w:val="24"/>
          <w:lang w:val="en-US"/>
        </w:rPr>
        <w:t xml:space="preserve">The basic structure of an IO table, conceived as a supply and use table of national production, can be seen in </w:t>
      </w:r>
      <w:r w:rsidR="0012233E">
        <w:fldChar w:fldCharType="begin"/>
      </w:r>
      <w:r w:rsidR="0012233E">
        <w:instrText xml:space="preserve"> REF _Ref358281623 \h  \* MERGEFORMAT </w:instrText>
      </w:r>
      <w:r w:rsidR="0012233E">
        <w:fldChar w:fldCharType="separate"/>
      </w:r>
      <w:r w:rsidR="00DE6A26" w:rsidRPr="00DE6A26">
        <w:rPr>
          <w:b w:val="0"/>
          <w:sz w:val="24"/>
          <w:szCs w:val="24"/>
          <w:lang w:val="en-US"/>
        </w:rPr>
        <w:t>Figure 8</w:t>
      </w:r>
      <w:r w:rsidR="0012233E">
        <w:fldChar w:fldCharType="end"/>
      </w:r>
      <w:r w:rsidRPr="00D13B3A">
        <w:rPr>
          <w:b w:val="0"/>
          <w:sz w:val="24"/>
          <w:szCs w:val="24"/>
          <w:lang w:val="en-US"/>
        </w:rPr>
        <w:t xml:space="preserve"> below. </w:t>
      </w:r>
      <w:r w:rsidR="00D905D1" w:rsidRPr="00D13B3A">
        <w:rPr>
          <w:b w:val="0"/>
          <w:sz w:val="24"/>
          <w:szCs w:val="24"/>
          <w:lang w:val="en-US"/>
        </w:rPr>
        <w:t xml:space="preserve">It </w:t>
      </w:r>
      <w:r w:rsidRPr="00D13B3A">
        <w:rPr>
          <w:b w:val="0"/>
          <w:sz w:val="24"/>
          <w:szCs w:val="24"/>
          <w:lang w:val="en-US"/>
        </w:rPr>
        <w:t>provides data on the interactions between suppliers (rows) and users (columns) of (</w:t>
      </w:r>
      <w:proofErr w:type="spellStart"/>
      <w:r w:rsidRPr="00D13B3A">
        <w:rPr>
          <w:b w:val="0"/>
          <w:sz w:val="24"/>
          <w:szCs w:val="24"/>
          <w:lang w:val="en-US"/>
        </w:rPr>
        <w:t>i</w:t>
      </w:r>
      <w:proofErr w:type="spellEnd"/>
      <w:r w:rsidRPr="00D13B3A">
        <w:rPr>
          <w:b w:val="0"/>
          <w:sz w:val="24"/>
          <w:szCs w:val="24"/>
          <w:lang w:val="en-US"/>
        </w:rPr>
        <w:t>) domestically produced and consumed intermediates (raw materials, industrial parts and components and services)</w:t>
      </w:r>
      <w:r w:rsidR="00D905D1" w:rsidRPr="00D13B3A">
        <w:rPr>
          <w:b w:val="0"/>
          <w:sz w:val="24"/>
          <w:szCs w:val="24"/>
          <w:lang w:val="en-US"/>
        </w:rPr>
        <w:t>;</w:t>
      </w:r>
      <w:r w:rsidRPr="00D13B3A">
        <w:rPr>
          <w:b w:val="0"/>
          <w:sz w:val="24"/>
          <w:szCs w:val="24"/>
          <w:lang w:val="en-US"/>
        </w:rPr>
        <w:t xml:space="preserve"> (ii) domestically produced and consumed final goods, in private final consumption, in Government final consumption or in Gross Fixed Capital Formation (GFCF); </w:t>
      </w:r>
      <w:r w:rsidR="00255EB9">
        <w:rPr>
          <w:b w:val="0"/>
          <w:sz w:val="24"/>
          <w:szCs w:val="24"/>
          <w:lang w:val="en-US"/>
        </w:rPr>
        <w:br/>
      </w:r>
      <w:r w:rsidRPr="00D13B3A">
        <w:rPr>
          <w:b w:val="0"/>
          <w:sz w:val="24"/>
          <w:szCs w:val="24"/>
          <w:lang w:val="en-US"/>
        </w:rPr>
        <w:t>(iii) domestically produced and exported final goods; and (iv) externally produced imported intermediates.</w:t>
      </w:r>
      <w:r w:rsidR="00D905D1" w:rsidRPr="00D13B3A">
        <w:rPr>
          <w:b w:val="0"/>
          <w:sz w:val="24"/>
          <w:szCs w:val="24"/>
          <w:lang w:val="en-US"/>
        </w:rPr>
        <w:t xml:space="preserve"> </w:t>
      </w:r>
    </w:p>
    <w:p w:rsidR="0010113D" w:rsidRPr="00D13B3A" w:rsidRDefault="0010113D" w:rsidP="0010113D">
      <w:pPr>
        <w:pStyle w:val="Figure"/>
      </w:pPr>
      <w:bookmarkStart w:id="33" w:name="_Ref358281623"/>
      <w:bookmarkStart w:id="34" w:name="_Toc438749257"/>
      <w:bookmarkStart w:id="35" w:name="_Toc494032893"/>
      <w:r w:rsidRPr="00D13B3A">
        <w:t xml:space="preserve">Figure </w:t>
      </w:r>
      <w:r w:rsidR="0012233E">
        <w:rPr>
          <w:noProof/>
        </w:rPr>
        <w:fldChar w:fldCharType="begin"/>
      </w:r>
      <w:r w:rsidR="0012233E">
        <w:rPr>
          <w:noProof/>
        </w:rPr>
        <w:instrText xml:space="preserve"> SEQ Figure \* ARABIC </w:instrText>
      </w:r>
      <w:r w:rsidR="0012233E">
        <w:rPr>
          <w:noProof/>
        </w:rPr>
        <w:fldChar w:fldCharType="separate"/>
      </w:r>
      <w:r w:rsidR="00DE6A26">
        <w:rPr>
          <w:noProof/>
        </w:rPr>
        <w:t>8</w:t>
      </w:r>
      <w:r w:rsidR="0012233E">
        <w:rPr>
          <w:noProof/>
        </w:rPr>
        <w:fldChar w:fldCharType="end"/>
      </w:r>
      <w:bookmarkEnd w:id="33"/>
      <w:r w:rsidRPr="00D13B3A">
        <w:t xml:space="preserve"> - </w:t>
      </w:r>
      <w:r w:rsidRPr="00D13B3A">
        <w:rPr>
          <w:lang w:eastAsia="en-US"/>
        </w:rPr>
        <w:t>The basic structure of an IO Table</w:t>
      </w:r>
      <w:bookmarkEnd w:id="34"/>
      <w:bookmarkEnd w:id="35"/>
    </w:p>
    <w:p w:rsidR="0010113D" w:rsidRPr="00D13B3A" w:rsidRDefault="00E226FD" w:rsidP="0010113D">
      <w:pPr>
        <w:pStyle w:val="Corpodetexto"/>
        <w:rPr>
          <w:lang w:val="en-US"/>
        </w:rPr>
      </w:pPr>
      <w:r>
        <w:rPr>
          <w:noProof/>
          <w:lang w:val="pt-PT"/>
        </w:rPr>
        <w:lastRenderedPageBreak/>
        <mc:AlternateContent>
          <mc:Choice Requires="wps">
            <w:drawing>
              <wp:anchor distT="0" distB="0" distL="114300" distR="114300" simplePos="0" relativeHeight="251716096" behindDoc="0" locked="0" layoutInCell="0" allowOverlap="1">
                <wp:simplePos x="0" y="0"/>
                <wp:positionH relativeFrom="column">
                  <wp:posOffset>3138805</wp:posOffset>
                </wp:positionH>
                <wp:positionV relativeFrom="paragraph">
                  <wp:posOffset>758190</wp:posOffset>
                </wp:positionV>
                <wp:extent cx="1489710" cy="683895"/>
                <wp:effectExtent l="0" t="0" r="0" b="1905"/>
                <wp:wrapNone/>
                <wp:docPr id="103" name="Rec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83895"/>
                        </a:xfrm>
                        <a:prstGeom prst="rect">
                          <a:avLst/>
                        </a:prstGeom>
                        <a:noFill/>
                        <a:ln w="2540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28A2B" id="Rectângulo 103" o:spid="_x0000_s1026" style="position:absolute;margin-left:247.15pt;margin-top:59.7pt;width:117.3pt;height:53.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0iAIAAAIFAAAOAAAAZHJzL2Uyb0RvYy54bWysVFGO0zAQ/UfiDpb/u0m6aTeNmq6WpkVI&#10;C6xYOIDrOImFYxvbbbqLuAxX4WKMnba08IMQ+XDGnvHMvJk3nt/uO4F2zFiuZIGTqxgjJqmquGwK&#10;/OnjepRhZB2RFRFKsgI/MYtvFy9fzHuds7FqlaiYQeBE2rzXBW6d03kUWdqyjtgrpZkEZa1MRxxs&#10;TRNVhvTgvRPROI6nUa9MpY2izFo4LQclXgT/dc2oe1/XljkkCgy5ubCasG78Gi3mJG8M0S2nhzTI&#10;P2TRES4h6MlVSRxBW8P/cNVxapRVtbuiqotUXXPKAgZAk8S/oXlsiWYBCxTH6lOZ7P9zS9/tHgzi&#10;FfQuvsZIkg6a9AHK9uO7bLZCIX8MReq1zcH2UT8YD9Pqe0U/WyTVsiWyYXfGqL5lpILUEm8fXVzw&#10;GwtX0aZ/qyqIQLZOhXrta9N5h1AJtA9teTq1he0donCYpNnsJoHuUdBNs+tsNgkhSH68rY11r5nq&#10;kBcKbCD/4J3s7q3z2ZD8aOKDSbXmQoTWC4n6Ao8naRyHG1YJXnltQGmazVIYtCOePfGreB0IA94u&#10;zDrugMOCdwXOYv8NrPLlWMkqhHGEi0GGy0J654AOkjtIA1e+zuLZKltl6SgdT1ejNC7L0d16mY6m&#10;6+RmUl6Xy2WZfPN5Jmne8qpi0qd65G2S/h0vDhM0MO7E3AtI9hz5OnyHkp+ZRZdphDIDquM/oAs8&#10;8K0fKLRR1RPQwKhhEOHhAKFV5hmjHoawwPbLlhiGkXgjgUqzJE391IZNOrkZw8acazbnGiIpuCqw&#10;w2gQl26Y9K02vGkhUhJ6LNUd0K/mgRmemkNWB9LCoAUEh0fBT/L5Plj9eroWPwEAAP//AwBQSwME&#10;FAAGAAgAAAAhAGp8A77iAAAACwEAAA8AAABkcnMvZG93bnJldi54bWxMj8FOwzAQRO9I/IO1SNyo&#10;kzQiTYhTVUhwAA5QEOLoxNskIl4H223Sfj3uCY6reZp5W65nPbADWtcbEhAvImBIjVE9tQI+3h9u&#10;VsCcl6TkYAgFHNHBurq8KGWhzERveNj6loUScoUU0Hk/Fpy7pkMt3cKMSCHbGaulD6dtubJyCuV6&#10;4EkU3XItewoLnRzxvsPme7vXAuqp/lymx9ds9/hl3fML/mzo9CTE9dW8uQPmcfZ/MJz1gzpUwak2&#10;e1KODQLSPF0GNARxngILRJascmC1gCTJYuBVyf//UP0CAAD//wMAUEsBAi0AFAAGAAgAAAAhALaD&#10;OJL+AAAA4QEAABMAAAAAAAAAAAAAAAAAAAAAAFtDb250ZW50X1R5cGVzXS54bWxQSwECLQAUAAYA&#10;CAAAACEAOP0h/9YAAACUAQAACwAAAAAAAAAAAAAAAAAvAQAAX3JlbHMvLnJlbHNQSwECLQAUAAYA&#10;CAAAACEAhTeP9IgCAAACBQAADgAAAAAAAAAAAAAAAAAuAgAAZHJzL2Uyb0RvYy54bWxQSwECLQAU&#10;AAYACAAAACEAanwDvuIAAAALAQAADwAAAAAAAAAAAAAAAADiBAAAZHJzL2Rvd25yZXYueG1sUEsF&#10;BgAAAAAEAAQA8wAAAPEFAAAAAA==&#10;" o:allowincell="f" filled="f" strokecolor="#00b0f0" strokeweight="2pt"/>
            </w:pict>
          </mc:Fallback>
        </mc:AlternateContent>
      </w:r>
      <w:r>
        <w:rPr>
          <w:noProof/>
          <w:lang w:val="pt-PT"/>
        </w:rPr>
        <mc:AlternateContent>
          <mc:Choice Requires="wps">
            <w:drawing>
              <wp:anchor distT="0" distB="0" distL="114300" distR="114300" simplePos="0" relativeHeight="251715072" behindDoc="0" locked="0" layoutInCell="0" allowOverlap="1">
                <wp:simplePos x="0" y="0"/>
                <wp:positionH relativeFrom="column">
                  <wp:posOffset>1012825</wp:posOffset>
                </wp:positionH>
                <wp:positionV relativeFrom="paragraph">
                  <wp:posOffset>1442085</wp:posOffset>
                </wp:positionV>
                <wp:extent cx="2101850" cy="99695"/>
                <wp:effectExtent l="0" t="0" r="0" b="0"/>
                <wp:wrapNone/>
                <wp:docPr id="101" name="Rectâ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99695"/>
                        </a:xfrm>
                        <a:prstGeom prst="rect">
                          <a:avLst/>
                        </a:prstGeom>
                        <a:noFill/>
                        <a:ln w="254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A94C" id="Rectângulo 101" o:spid="_x0000_s1026" style="position:absolute;margin-left:79.75pt;margin-top:113.55pt;width:165.5pt;height:7.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uDggIAAAEFAAAOAAAAZHJzL2Uyb0RvYy54bWysVF2O0zAQfkfiDpbfu0lK2m2jTVdL0yIk&#10;flYsHMC1ncTCsY3tNl0Ql+EqXIyx05aWfUGIPDgejz3+vplvfHO77yTaceuEViXOrlKMuKKaCdWU&#10;+NPH9WiGkfNEMSK14iV+5A7fLp4/u+lNwce61ZJxiyCIckVvStx6b4okcbTlHXFX2nAFzlrbjngw&#10;bZMwS3qI3slknKbTpNeWGaspdw5Wq8GJFzF+XXPq39e14x7JEgM2H0cbx00Yk8UNKRpLTCvoAQb5&#10;BxQdEQouPYWqiCdoa8WTUJ2gVjtd+yuqu0TXtaA8cgA2WfoHm4eWGB65QHKcOaXJ/b+w9N3u3iLB&#10;oHZphpEiHRTpA6Tt5w/VbKVGYRmS1BtXwN4Hc28DTWfeaPrZIaWXLVENv7NW9y0nDKDF/cnFgWA4&#10;OIo2/VvN4Aay9Trma1/bLgSETKB9LMvjqSx87xGFxTFgmE2gehR88/l0PgmIElIcDxvr/CuuOxQm&#10;JbYAPwYnuzfOD1uPW8JdSq+FlLHyUqEeLpjkaRpPOC0FC95I0jabpbRoR4J40pcpYBiiXWzrhAcJ&#10;S9GVeJaGbxBVyMZKsXiNJ0IOc0AtVQgO5ADcYTZI5ds8na9mq1k+ysfT1ShPq2p0t17mo+k6u55U&#10;L6rlssq+B5xZXrSCMa4C1KNss/zvZHFooEFwJ+FeUHLnzNfxe8o8uYQRKwKsjv/ILsogVH5Q0Eaz&#10;R1CB1UMfwrsBk1bbrxj10IMldl+2xHKM5GsFSppneR6aNhr55HoMhj33bM49RFEIVWKP0TBd+qHR&#10;t8aKpoWbslhjpe9AfbWIygjKHFAB7mBAn0UGhzchNPK5HXf9frkWvwAAAP//AwBQSwMEFAAGAAgA&#10;AAAhAEEC/c7hAAAACwEAAA8AAABkcnMvZG93bnJldi54bWxMj0FLw0AQhe+C/2EZwYvY3aaNtjGb&#10;IqJQqAjW4HmTjEkwOxuymyb+e6cnPb43H2/eS3ez7cQJB9860rBcKBBIpataqjXkHy+3GxA+GKpM&#10;5wg1/KCHXXZ5kZqkchO94+kYasEh5BOjoQmhT6T0ZYPW+IXrkfj25QZrAsuhltVgJg63nYyUupPW&#10;tMQfGtPjU4Pl93G0Gt5uXt0hzg/Tavxc2X0R53v7rLS+vpofH0AEnMMfDOf6XB0y7lS4kSovOtbx&#10;NmZUQxTdL0Ewsd4qdgp21tEGZJbK/xuyXwAAAP//AwBQSwECLQAUAAYACAAAACEAtoM4kv4AAADh&#10;AQAAEwAAAAAAAAAAAAAAAAAAAAAAW0NvbnRlbnRfVHlwZXNdLnhtbFBLAQItABQABgAIAAAAIQA4&#10;/SH/1gAAAJQBAAALAAAAAAAAAAAAAAAAAC8BAABfcmVscy8ucmVsc1BLAQItABQABgAIAAAAIQCD&#10;OZuDggIAAAEFAAAOAAAAAAAAAAAAAAAAAC4CAABkcnMvZTJvRG9jLnhtbFBLAQItABQABgAIAAAA&#10;IQBBAv3O4QAAAAsBAAAPAAAAAAAAAAAAAAAAANwEAABkcnMvZG93bnJldi54bWxQSwUGAAAAAAQA&#10;BADzAAAA6gUAAAAA&#10;" o:allowincell="f" filled="f" strokecolor="#00b050" strokeweight="2pt"/>
            </w:pict>
          </mc:Fallback>
        </mc:AlternateContent>
      </w:r>
      <w:r>
        <w:rPr>
          <w:noProof/>
          <w:lang w:val="pt-PT"/>
        </w:rPr>
        <mc:AlternateContent>
          <mc:Choice Requires="wps">
            <w:drawing>
              <wp:anchor distT="0" distB="0" distL="114300" distR="114300" simplePos="0" relativeHeight="251714048" behindDoc="0" locked="0" layoutInCell="0" allowOverlap="1">
                <wp:simplePos x="0" y="0"/>
                <wp:positionH relativeFrom="column">
                  <wp:posOffset>1015365</wp:posOffset>
                </wp:positionH>
                <wp:positionV relativeFrom="paragraph">
                  <wp:posOffset>758825</wp:posOffset>
                </wp:positionV>
                <wp:extent cx="2102485" cy="654685"/>
                <wp:effectExtent l="0" t="0" r="0" b="0"/>
                <wp:wrapNone/>
                <wp:docPr id="102" name="Rectâ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2485" cy="65468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2DBC5" id="Rectângulo 102" o:spid="_x0000_s1026" style="position:absolute;margin-left:79.95pt;margin-top:59.75pt;width:165.55pt;height:51.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3jgQIAAAIFAAAOAAAAZHJzL2Uyb0RvYy54bWysVFGO0zAQ/UfiDpb/u0lK2m2jTVerpkFI&#10;C6xYOIAbO4mFYxvbbbogLsNVuBhjJy0t+4MQ+XDGnvHMvJk3vrk9dALtmbFcyRwnVzFGTFaKctnk&#10;+NPHcrLAyDoiKRFKshw/MYtvVy9f3PQ6Y1PVKkGZQeBE2qzXOW6d01kU2aplHbFXSjMJylqZjjjY&#10;miaihvTgvRPRNI7nUa8M1UZVzFo4LQYlXgX/dc0q976uLXNI5Bhyc2E1Yd36NVrdkKwxRLe8GtMg&#10;/5BFR7iEoCdXBXEE7Qx/5qrjlVFW1e6qUl2k6ppXLGAANEn8B5rHlmgWsEBxrD6Vyf4/t9W7/YNB&#10;nELv4ilGknTQpA9Qtp8/ZLMTCvljKFKvbQa2j/rBeJhW36vqs0VSrVsiG3ZnjOpbRiiklnj76OKC&#10;31i4irb9W0UhAtk5Fep1qE3nHUIl0CG05enUFnZwqILDKeSQLmYYVaCbz9I5yD4EyY63tbHuNVMd&#10;8kKODeQfvJP9vXWD6dHEB5Oq5ELAOcmERD1EmKVxHG5YJTj12oDSNNu1MGhPgD1lGcM3Br4w67gD&#10;Dgve5XjhbUZW+XJsJA1hHOFikCFrIb1zQAfJjdLAlW/LeLlZbBbpJJ3ON5M0LorJXblOJ/MyuZ4V&#10;r4r1uki++zyTNGs5pUz6VI+8TdK/48U4QQPjTsy9gGQvkZfwPUceXaYROgKojv+ALvDAt36g0FbR&#10;J6CBUcMgwsMBQqvMV4x6GMIc2y87YhhG4o0EKi2TNPVTGzbp7HoKG3Ou2Z5riKzAVY4dRoO4dsOk&#10;77ThTQuRktBjqe6AfjUPzPDUHLIaSQuDFhCMj4Kf5PN9sPr9dK1+AQAA//8DAFBLAwQUAAYACAAA&#10;ACEA1jXdluAAAAALAQAADwAAAGRycy9kb3ducmV2LnhtbEyPTUvDQBCG74L/YRnBm90k2GJiNqUI&#10;RQ8KtQpet9lpNjY7G7PbNP33jqd6m5d5eD/K5eQ6MeIQWk8K0lkCAqn2pqVGwefH+u4BRIiajO48&#10;oYIzBlhW11elLow/0TuO29gINqFQaAU2xr6QMtQWnQ4z3yPxb+8HpyPLoZFm0Cc2d53MkmQhnW6J&#10;E6zu8clifdgenYLXtt7Yt2acvvfduP5ZueeX8+FLqdubafUIIuIULzD81efqUHGnnT+SCaJjPc9z&#10;RvlI8zkIJu7zlNftFGRZtgBZlfL/huoXAAD//wMAUEsBAi0AFAAGAAgAAAAhALaDOJL+AAAA4QEA&#10;ABMAAAAAAAAAAAAAAAAAAAAAAFtDb250ZW50X1R5cGVzXS54bWxQSwECLQAUAAYACAAAACEAOP0h&#10;/9YAAACUAQAACwAAAAAAAAAAAAAAAAAvAQAAX3JlbHMvLnJlbHNQSwECLQAUAAYACAAAACEAAskt&#10;44ECAAACBQAADgAAAAAAAAAAAAAAAAAuAgAAZHJzL2Uyb0RvYy54bWxQSwECLQAUAAYACAAAACEA&#10;1jXdluAAAAALAQAADwAAAAAAAAAAAAAAAADbBAAAZHJzL2Rvd25yZXYueG1sUEsFBgAAAAAEAAQA&#10;8wAAAOgFAAAAAA==&#10;" o:allowincell="f" filled="f" strokecolor="red" strokeweight="2pt"/>
            </w:pict>
          </mc:Fallback>
        </mc:AlternateContent>
      </w:r>
      <w:r w:rsidR="0010113D" w:rsidRPr="00D13B3A">
        <w:rPr>
          <w:noProof/>
          <w:lang w:val="pt-PT"/>
        </w:rPr>
        <w:drawing>
          <wp:inline distT="0" distB="0" distL="0" distR="0">
            <wp:extent cx="5113234" cy="238163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123826" cy="2386572"/>
                    </a:xfrm>
                    <a:prstGeom prst="rect">
                      <a:avLst/>
                    </a:prstGeom>
                    <a:noFill/>
                    <a:ln w="9525">
                      <a:noFill/>
                      <a:miter lim="800000"/>
                      <a:headEnd/>
                      <a:tailEnd/>
                    </a:ln>
                  </pic:spPr>
                </pic:pic>
              </a:graphicData>
            </a:graphic>
          </wp:inline>
        </w:drawing>
      </w:r>
    </w:p>
    <w:p w:rsidR="0010113D" w:rsidRPr="00D13B3A" w:rsidRDefault="0010113D" w:rsidP="0010113D">
      <w:pPr>
        <w:pStyle w:val="Corpodetexto"/>
        <w:spacing w:after="240"/>
        <w:ind w:firstLine="706"/>
        <w:jc w:val="center"/>
        <w:rPr>
          <w:sz w:val="18"/>
          <w:szCs w:val="18"/>
          <w:lang w:val="en-US"/>
        </w:rPr>
      </w:pPr>
      <w:r w:rsidRPr="00D13B3A">
        <w:rPr>
          <w:sz w:val="18"/>
          <w:szCs w:val="18"/>
          <w:lang w:val="en-US"/>
        </w:rPr>
        <w:t xml:space="preserve">Source: </w:t>
      </w:r>
      <w:proofErr w:type="spellStart"/>
      <w:r w:rsidRPr="00D13B3A">
        <w:rPr>
          <w:sz w:val="18"/>
          <w:szCs w:val="18"/>
          <w:lang w:val="en-US"/>
        </w:rPr>
        <w:t>Wixted</w:t>
      </w:r>
      <w:proofErr w:type="spellEnd"/>
      <w:r w:rsidRPr="00D13B3A">
        <w:rPr>
          <w:sz w:val="18"/>
          <w:szCs w:val="18"/>
          <w:lang w:val="en-US"/>
        </w:rPr>
        <w:t xml:space="preserve"> et al (2006).</w:t>
      </w:r>
    </w:p>
    <w:p w:rsidR="0010113D" w:rsidRDefault="0010113D" w:rsidP="00D905D1">
      <w:pPr>
        <w:pStyle w:val="Legenda"/>
        <w:spacing w:before="0" w:after="0" w:line="480" w:lineRule="auto"/>
        <w:ind w:firstLine="709"/>
        <w:jc w:val="both"/>
        <w:rPr>
          <w:b w:val="0"/>
          <w:sz w:val="24"/>
          <w:szCs w:val="24"/>
          <w:lang w:val="en-US"/>
        </w:rPr>
      </w:pPr>
    </w:p>
    <w:p w:rsidR="0025369F" w:rsidRPr="00D13B3A" w:rsidRDefault="0025369F" w:rsidP="00D905D1">
      <w:pPr>
        <w:pStyle w:val="Legenda"/>
        <w:spacing w:before="0" w:after="0" w:line="480" w:lineRule="auto"/>
        <w:ind w:firstLine="709"/>
        <w:jc w:val="both"/>
        <w:rPr>
          <w:b w:val="0"/>
          <w:sz w:val="24"/>
          <w:szCs w:val="24"/>
          <w:lang w:val="en-US"/>
        </w:rPr>
      </w:pPr>
      <w:r w:rsidRPr="00D13B3A">
        <w:rPr>
          <w:b w:val="0"/>
          <w:sz w:val="24"/>
          <w:szCs w:val="24"/>
          <w:lang w:val="en-US"/>
        </w:rPr>
        <w:t>It must be underlined that this matrix is a supply and use table of national production, as referred in Eurostat (2008), and not a supply and use table of total flows in the economy, since information is not presented about imports of final goods, including those re-exported with no value-added in the domestic economy. A supply and use table of total flows would</w:t>
      </w:r>
      <w:r w:rsidRPr="00D13B3A">
        <w:rPr>
          <w:b w:val="0"/>
          <w:lang w:val="en-US"/>
        </w:rPr>
        <w:t xml:space="preserve"> </w:t>
      </w:r>
      <w:r w:rsidRPr="00D13B3A">
        <w:rPr>
          <w:b w:val="0"/>
          <w:sz w:val="24"/>
          <w:szCs w:val="24"/>
          <w:lang w:val="en-US"/>
        </w:rPr>
        <w:t xml:space="preserve">also present an additional row for imports of final goods. This missing information is not relevant, nonetheless, for the purpose of this thesis, i.e. assessing the participation of </w:t>
      </w:r>
      <w:r w:rsidR="00255EB9">
        <w:rPr>
          <w:b w:val="0"/>
          <w:sz w:val="24"/>
          <w:szCs w:val="24"/>
          <w:lang w:val="en-US"/>
        </w:rPr>
        <w:t>domestic</w:t>
      </w:r>
      <w:r w:rsidRPr="00D13B3A">
        <w:rPr>
          <w:b w:val="0"/>
          <w:sz w:val="24"/>
          <w:szCs w:val="24"/>
          <w:lang w:val="en-US"/>
        </w:rPr>
        <w:t xml:space="preserve"> production in GVCs.</w:t>
      </w:r>
    </w:p>
    <w:p w:rsidR="0025369F" w:rsidRPr="00D13B3A" w:rsidRDefault="0025369F" w:rsidP="007940B2">
      <w:pPr>
        <w:pStyle w:val="Corpodetexto"/>
        <w:spacing w:line="480" w:lineRule="auto"/>
        <w:ind w:firstLine="709"/>
        <w:rPr>
          <w:lang w:val="en-US"/>
        </w:rPr>
      </w:pPr>
      <w:r w:rsidRPr="00D13B3A">
        <w:rPr>
          <w:lang w:val="en-US"/>
        </w:rPr>
        <w:t xml:space="preserve">On one hand, rows give information about how </w:t>
      </w:r>
      <w:r w:rsidR="007940B2" w:rsidRPr="00D13B3A">
        <w:rPr>
          <w:lang w:val="en-US"/>
        </w:rPr>
        <w:t xml:space="preserve">the production of </w:t>
      </w:r>
      <w:r w:rsidRPr="00D13B3A">
        <w:rPr>
          <w:lang w:val="en-US"/>
        </w:rPr>
        <w:t xml:space="preserve">a given sector </w:t>
      </w:r>
      <w:r w:rsidR="007940B2" w:rsidRPr="00D13B3A">
        <w:rPr>
          <w:lang w:val="en-US"/>
        </w:rPr>
        <w:t>was used</w:t>
      </w:r>
      <w:r w:rsidR="00355C50" w:rsidRPr="00D13B3A">
        <w:rPr>
          <w:lang w:val="en-US"/>
        </w:rPr>
        <w:t xml:space="preserve"> (user’s or upstream approach)</w:t>
      </w:r>
      <w:r w:rsidR="007940B2" w:rsidRPr="00D13B3A">
        <w:rPr>
          <w:lang w:val="en-US"/>
        </w:rPr>
        <w:t>, namely as (</w:t>
      </w:r>
      <w:proofErr w:type="spellStart"/>
      <w:r w:rsidR="007940B2" w:rsidRPr="00D13B3A">
        <w:rPr>
          <w:lang w:val="en-US"/>
        </w:rPr>
        <w:t>i</w:t>
      </w:r>
      <w:proofErr w:type="spellEnd"/>
      <w:r w:rsidR="007940B2" w:rsidRPr="00D13B3A">
        <w:rPr>
          <w:lang w:val="en-US"/>
        </w:rPr>
        <w:t xml:space="preserve">) inputs in the production processes of other sectors; (ii) inputs the production process in the same sector; </w:t>
      </w:r>
      <w:r w:rsidR="00E85EA8">
        <w:rPr>
          <w:lang w:val="en-US"/>
        </w:rPr>
        <w:br/>
      </w:r>
      <w:r w:rsidR="007940B2" w:rsidRPr="00D13B3A">
        <w:rPr>
          <w:lang w:val="en-US"/>
        </w:rPr>
        <w:t xml:space="preserve">(iii) </w:t>
      </w:r>
      <w:r w:rsidR="00E85EA8">
        <w:rPr>
          <w:lang w:val="en-US"/>
        </w:rPr>
        <w:t xml:space="preserve">domestic </w:t>
      </w:r>
      <w:r w:rsidR="007940B2" w:rsidRPr="00D13B3A">
        <w:rPr>
          <w:lang w:val="en-US"/>
        </w:rPr>
        <w:t xml:space="preserve">final private consumption; (iv) </w:t>
      </w:r>
      <w:r w:rsidR="00E85EA8">
        <w:rPr>
          <w:lang w:val="en-US"/>
        </w:rPr>
        <w:t xml:space="preserve">domestic </w:t>
      </w:r>
      <w:r w:rsidR="007940B2" w:rsidRPr="00D13B3A">
        <w:rPr>
          <w:lang w:val="en-US"/>
        </w:rPr>
        <w:t xml:space="preserve">government final consumption; (v) </w:t>
      </w:r>
      <w:r w:rsidR="00E85EA8">
        <w:rPr>
          <w:lang w:val="en-US"/>
        </w:rPr>
        <w:t xml:space="preserve">domestic </w:t>
      </w:r>
      <w:r w:rsidR="007940B2" w:rsidRPr="00D13B3A">
        <w:rPr>
          <w:lang w:val="en-US"/>
        </w:rPr>
        <w:t xml:space="preserve">GFCF; and (vi) exports abroad. If we take the case of the uses of the production of the agriculture sector in </w:t>
      </w:r>
      <w:r w:rsidR="0012233E">
        <w:fldChar w:fldCharType="begin"/>
      </w:r>
      <w:r w:rsidR="0012233E">
        <w:instrText xml:space="preserve"> REF _Ref358281623 \h  \* MERGEFORMAT </w:instrText>
      </w:r>
      <w:r w:rsidR="0012233E">
        <w:fldChar w:fldCharType="separate"/>
      </w:r>
      <w:r w:rsidR="00DE6A26" w:rsidRPr="00DE6A26">
        <w:rPr>
          <w:lang w:val="en-US"/>
        </w:rPr>
        <w:t>Figure 8</w:t>
      </w:r>
      <w:r w:rsidR="0012233E">
        <w:fldChar w:fldCharType="end"/>
      </w:r>
      <w:r w:rsidR="007940B2" w:rsidRPr="00D13B3A">
        <w:rPr>
          <w:lang w:val="en-US"/>
        </w:rPr>
        <w:t xml:space="preserve"> above</w:t>
      </w:r>
      <w:r w:rsidR="00703A09" w:rsidRPr="00D13B3A">
        <w:rPr>
          <w:lang w:val="en-US"/>
        </w:rPr>
        <w:t xml:space="preserve"> (row 1)</w:t>
      </w:r>
      <w:r w:rsidR="007940B2" w:rsidRPr="00D13B3A">
        <w:rPr>
          <w:lang w:val="en-US"/>
        </w:rPr>
        <w:t xml:space="preserve">, we observe that </w:t>
      </w:r>
      <w:r w:rsidR="0009131F">
        <w:rPr>
          <w:lang w:val="en-US"/>
        </w:rPr>
        <w:br/>
      </w:r>
      <w:r w:rsidRPr="00D13B3A">
        <w:rPr>
          <w:lang w:val="en-US"/>
        </w:rPr>
        <w:t>(</w:t>
      </w:r>
      <w:proofErr w:type="spellStart"/>
      <w:r w:rsidRPr="00D13B3A">
        <w:rPr>
          <w:lang w:val="en-US"/>
        </w:rPr>
        <w:t>i</w:t>
      </w:r>
      <w:proofErr w:type="spellEnd"/>
      <w:r w:rsidRPr="00D13B3A">
        <w:rPr>
          <w:lang w:val="en-US"/>
        </w:rPr>
        <w:t xml:space="preserve">) </w:t>
      </w:r>
      <w:r w:rsidR="0009131F" w:rsidRPr="00D13B3A">
        <w:rPr>
          <w:lang w:val="en-US"/>
        </w:rPr>
        <w:t xml:space="preserve">2,731 units </w:t>
      </w:r>
      <w:r w:rsidR="0009131F">
        <w:rPr>
          <w:lang w:val="en-US"/>
        </w:rPr>
        <w:t xml:space="preserve">were used </w:t>
      </w:r>
      <w:r w:rsidR="0009131F" w:rsidRPr="00D13B3A">
        <w:rPr>
          <w:lang w:val="en-US"/>
        </w:rPr>
        <w:t>as inputs in the agriculture sector itself</w:t>
      </w:r>
      <w:r w:rsidR="0009131F">
        <w:rPr>
          <w:lang w:val="en-US"/>
        </w:rPr>
        <w:t xml:space="preserve">; (ii) </w:t>
      </w:r>
      <w:r w:rsidRPr="00D13B3A">
        <w:rPr>
          <w:lang w:val="en-US"/>
        </w:rPr>
        <w:t>3 units as inputs in the mining sector</w:t>
      </w:r>
      <w:r w:rsidR="0009131F">
        <w:rPr>
          <w:lang w:val="en-US"/>
        </w:rPr>
        <w:t>;</w:t>
      </w:r>
      <w:r w:rsidRPr="00D13B3A">
        <w:rPr>
          <w:lang w:val="en-US"/>
        </w:rPr>
        <w:t xml:space="preserve"> </w:t>
      </w:r>
      <w:r w:rsidR="0009131F">
        <w:rPr>
          <w:lang w:val="en-US"/>
        </w:rPr>
        <w:t xml:space="preserve">(iii) </w:t>
      </w:r>
      <w:r w:rsidRPr="00D13B3A">
        <w:rPr>
          <w:lang w:val="en-US"/>
        </w:rPr>
        <w:t>8,260 units as inputs in the manufactures sector</w:t>
      </w:r>
      <w:r w:rsidR="0009131F">
        <w:rPr>
          <w:lang w:val="en-US"/>
        </w:rPr>
        <w:t>; (iv)</w:t>
      </w:r>
      <w:r w:rsidRPr="00D13B3A">
        <w:rPr>
          <w:lang w:val="en-US"/>
        </w:rPr>
        <w:t xml:space="preserve"> 36 units as </w:t>
      </w:r>
      <w:r w:rsidRPr="00D13B3A">
        <w:rPr>
          <w:lang w:val="en-US"/>
        </w:rPr>
        <w:lastRenderedPageBreak/>
        <w:t>inputs in the utilities sector</w:t>
      </w:r>
      <w:r w:rsidR="0009131F">
        <w:rPr>
          <w:lang w:val="en-US"/>
        </w:rPr>
        <w:t>; (v)</w:t>
      </w:r>
      <w:r w:rsidRPr="00D13B3A">
        <w:rPr>
          <w:lang w:val="en-US"/>
        </w:rPr>
        <w:t xml:space="preserve"> 59 units as inputs in the construction sector</w:t>
      </w:r>
      <w:r w:rsidR="0009131F">
        <w:rPr>
          <w:lang w:val="en-US"/>
        </w:rPr>
        <w:t xml:space="preserve">; </w:t>
      </w:r>
      <w:r w:rsidR="0009131F">
        <w:rPr>
          <w:lang w:val="en-US"/>
        </w:rPr>
        <w:br/>
        <w:t>(vi)</w:t>
      </w:r>
      <w:r w:rsidRPr="00D13B3A">
        <w:rPr>
          <w:lang w:val="en-US"/>
        </w:rPr>
        <w:t xml:space="preserve"> 615 units a</w:t>
      </w:r>
      <w:r w:rsidR="007940B2" w:rsidRPr="00D13B3A">
        <w:rPr>
          <w:lang w:val="en-US"/>
        </w:rPr>
        <w:t>s inputs in the services sector</w:t>
      </w:r>
      <w:r w:rsidRPr="00D13B3A">
        <w:rPr>
          <w:lang w:val="en-US"/>
        </w:rPr>
        <w:t>; (</w:t>
      </w:r>
      <w:r w:rsidR="0009131F">
        <w:rPr>
          <w:lang w:val="en-US"/>
        </w:rPr>
        <w:t>v</w:t>
      </w:r>
      <w:r w:rsidRPr="00D13B3A">
        <w:rPr>
          <w:lang w:val="en-US"/>
        </w:rPr>
        <w:t xml:space="preserve">ii) </w:t>
      </w:r>
      <w:r w:rsidR="007940B2" w:rsidRPr="00D13B3A">
        <w:rPr>
          <w:lang w:val="en-US"/>
        </w:rPr>
        <w:t xml:space="preserve">962 units as </w:t>
      </w:r>
      <w:r w:rsidR="0009131F">
        <w:rPr>
          <w:lang w:val="en-US"/>
        </w:rPr>
        <w:t xml:space="preserve">domestic </w:t>
      </w:r>
      <w:r w:rsidRPr="00D13B3A">
        <w:rPr>
          <w:lang w:val="en-US"/>
        </w:rPr>
        <w:t xml:space="preserve">final </w:t>
      </w:r>
      <w:r w:rsidR="007940B2" w:rsidRPr="00D13B3A">
        <w:rPr>
          <w:lang w:val="en-US"/>
        </w:rPr>
        <w:t xml:space="preserve">private </w:t>
      </w:r>
      <w:r w:rsidRPr="00D13B3A">
        <w:rPr>
          <w:lang w:val="en-US"/>
        </w:rPr>
        <w:t>consumption; (</w:t>
      </w:r>
      <w:r w:rsidR="0009131F">
        <w:rPr>
          <w:lang w:val="en-US"/>
        </w:rPr>
        <w:t>viii</w:t>
      </w:r>
      <w:r w:rsidRPr="00D13B3A">
        <w:rPr>
          <w:lang w:val="en-US"/>
        </w:rPr>
        <w:t xml:space="preserve">) </w:t>
      </w:r>
      <w:r w:rsidR="007940B2" w:rsidRPr="00D13B3A">
        <w:rPr>
          <w:lang w:val="en-US"/>
        </w:rPr>
        <w:t xml:space="preserve">62 units as </w:t>
      </w:r>
      <w:r w:rsidRPr="00D13B3A">
        <w:rPr>
          <w:lang w:val="en-US"/>
        </w:rPr>
        <w:t xml:space="preserve">government final consumption in the country; </w:t>
      </w:r>
      <w:r w:rsidR="0009131F">
        <w:rPr>
          <w:lang w:val="en-US"/>
        </w:rPr>
        <w:br/>
      </w:r>
      <w:r w:rsidRPr="00D13B3A">
        <w:rPr>
          <w:lang w:val="en-US"/>
        </w:rPr>
        <w:t>(</w:t>
      </w:r>
      <w:r w:rsidR="0009131F">
        <w:rPr>
          <w:lang w:val="en-US"/>
        </w:rPr>
        <w:t>ix</w:t>
      </w:r>
      <w:r w:rsidRPr="00D13B3A">
        <w:rPr>
          <w:lang w:val="en-US"/>
        </w:rPr>
        <w:t xml:space="preserve">) </w:t>
      </w:r>
      <w:r w:rsidR="007940B2" w:rsidRPr="00D13B3A">
        <w:rPr>
          <w:lang w:val="en-US"/>
        </w:rPr>
        <w:t xml:space="preserve">567 units as </w:t>
      </w:r>
      <w:r w:rsidR="0009131F">
        <w:rPr>
          <w:lang w:val="en-US"/>
        </w:rPr>
        <w:t xml:space="preserve">domestic </w:t>
      </w:r>
      <w:r w:rsidRPr="00D13B3A">
        <w:rPr>
          <w:lang w:val="en-US"/>
        </w:rPr>
        <w:t>GFCF; and (</w:t>
      </w:r>
      <w:r w:rsidR="0009131F">
        <w:rPr>
          <w:lang w:val="en-US"/>
        </w:rPr>
        <w:t>x</w:t>
      </w:r>
      <w:r w:rsidRPr="00D13B3A">
        <w:rPr>
          <w:lang w:val="en-US"/>
        </w:rPr>
        <w:t xml:space="preserve">) </w:t>
      </w:r>
      <w:r w:rsidR="007940B2" w:rsidRPr="00D13B3A">
        <w:rPr>
          <w:lang w:val="en-US"/>
        </w:rPr>
        <w:t>8,568 were exported (both as inputs and as final consumption)</w:t>
      </w:r>
      <w:r w:rsidRPr="00D13B3A">
        <w:rPr>
          <w:lang w:val="en-US"/>
        </w:rPr>
        <w:t>.</w:t>
      </w:r>
      <w:r w:rsidR="00703A09" w:rsidRPr="00D13B3A">
        <w:rPr>
          <w:lang w:val="en-US"/>
        </w:rPr>
        <w:t xml:space="preserve"> </w:t>
      </w:r>
    </w:p>
    <w:p w:rsidR="0025369F" w:rsidRPr="00D13B3A" w:rsidRDefault="0025369F" w:rsidP="0025369F">
      <w:pPr>
        <w:pStyle w:val="Corpodetexto"/>
        <w:spacing w:line="480" w:lineRule="auto"/>
        <w:ind w:firstLine="709"/>
        <w:rPr>
          <w:lang w:val="en-US"/>
        </w:rPr>
      </w:pPr>
      <w:r w:rsidRPr="00D13B3A">
        <w:rPr>
          <w:lang w:val="en-US"/>
        </w:rPr>
        <w:t xml:space="preserve">On the other hand, columns give information about how the </w:t>
      </w:r>
      <w:r w:rsidR="00703A09" w:rsidRPr="00D13B3A">
        <w:rPr>
          <w:lang w:val="en-US"/>
        </w:rPr>
        <w:t xml:space="preserve">output </w:t>
      </w:r>
      <w:r w:rsidRPr="00D13B3A">
        <w:rPr>
          <w:lang w:val="en-US"/>
        </w:rPr>
        <w:t xml:space="preserve">of a </w:t>
      </w:r>
      <w:r w:rsidR="00703A09" w:rsidRPr="00D13B3A">
        <w:rPr>
          <w:lang w:val="en-US"/>
        </w:rPr>
        <w:t>given sector was produced</w:t>
      </w:r>
      <w:r w:rsidR="00355C50" w:rsidRPr="00D13B3A">
        <w:rPr>
          <w:lang w:val="en-US"/>
        </w:rPr>
        <w:t xml:space="preserve"> (supplier’s or downstream approach)</w:t>
      </w:r>
      <w:r w:rsidR="00703A09" w:rsidRPr="00D13B3A">
        <w:rPr>
          <w:lang w:val="en-US"/>
        </w:rPr>
        <w:t>, namely with</w:t>
      </w:r>
      <w:r w:rsidR="00C65856">
        <w:rPr>
          <w:lang w:val="en-US"/>
        </w:rPr>
        <w:t xml:space="preserve"> supplies from</w:t>
      </w:r>
      <w:r w:rsidR="00703A09" w:rsidRPr="00D13B3A">
        <w:rPr>
          <w:lang w:val="en-US"/>
        </w:rPr>
        <w:t xml:space="preserve"> (</w:t>
      </w:r>
      <w:proofErr w:type="spellStart"/>
      <w:r w:rsidR="00703A09" w:rsidRPr="00D13B3A">
        <w:rPr>
          <w:lang w:val="en-US"/>
        </w:rPr>
        <w:t>i</w:t>
      </w:r>
      <w:proofErr w:type="spellEnd"/>
      <w:r w:rsidR="00703A09" w:rsidRPr="00D13B3A">
        <w:rPr>
          <w:lang w:val="en-US"/>
        </w:rPr>
        <w:t>) domestic inputs from other sectors of activity; (ii) domestic inputs from the same sector; (iii) imported inputs; (iv) net taxes levied on products; and (v) value-added in the sector, at basic prices, representing the sum of wages and s</w:t>
      </w:r>
      <w:r w:rsidR="00C65856">
        <w:rPr>
          <w:lang w:val="en-US"/>
        </w:rPr>
        <w:t>alaries (remuneration of labor)</w:t>
      </w:r>
      <w:r w:rsidR="00703A09" w:rsidRPr="00D13B3A">
        <w:rPr>
          <w:lang w:val="en-US"/>
        </w:rPr>
        <w:t xml:space="preserve"> and gross operating surplus (remuneration of capital). If we take the case of the </w:t>
      </w:r>
      <w:r w:rsidR="00C65856">
        <w:rPr>
          <w:lang w:val="en-US"/>
        </w:rPr>
        <w:t xml:space="preserve">supplies for </w:t>
      </w:r>
      <w:r w:rsidR="00703A09" w:rsidRPr="00D13B3A">
        <w:rPr>
          <w:lang w:val="en-US"/>
        </w:rPr>
        <w:t xml:space="preserve">the production of the agriculture sector in </w:t>
      </w:r>
      <w:r w:rsidR="0012233E">
        <w:fldChar w:fldCharType="begin"/>
      </w:r>
      <w:r w:rsidR="0012233E">
        <w:instrText xml:space="preserve"> REF _Ref358281623 \h  \* MERGEFORMAT </w:instrText>
      </w:r>
      <w:r w:rsidR="0012233E">
        <w:fldChar w:fldCharType="separate"/>
      </w:r>
      <w:r w:rsidR="00DE6A26" w:rsidRPr="00DE6A26">
        <w:rPr>
          <w:lang w:val="en-US"/>
        </w:rPr>
        <w:t>Figure 8</w:t>
      </w:r>
      <w:r w:rsidR="0012233E">
        <w:fldChar w:fldCharType="end"/>
      </w:r>
      <w:r w:rsidR="00703A09" w:rsidRPr="00D13B3A">
        <w:rPr>
          <w:lang w:val="en-US"/>
        </w:rPr>
        <w:t xml:space="preserve"> above (column 1), we observe that the value of the </w:t>
      </w:r>
      <w:r w:rsidR="00C65856">
        <w:rPr>
          <w:lang w:val="en-US"/>
        </w:rPr>
        <w:t xml:space="preserve">sector’s </w:t>
      </w:r>
      <w:r w:rsidR="00703A09" w:rsidRPr="00D13B3A">
        <w:rPr>
          <w:lang w:val="en-US"/>
        </w:rPr>
        <w:t xml:space="preserve">output </w:t>
      </w:r>
      <w:r w:rsidR="00C65856">
        <w:rPr>
          <w:lang w:val="en-US"/>
        </w:rPr>
        <w:t xml:space="preserve">splits </w:t>
      </w:r>
      <w:r w:rsidR="00703A09" w:rsidRPr="00D13B3A">
        <w:rPr>
          <w:lang w:val="en-US"/>
        </w:rPr>
        <w:t>into (</w:t>
      </w:r>
      <w:proofErr w:type="spellStart"/>
      <w:r w:rsidR="00703A09" w:rsidRPr="00D13B3A">
        <w:rPr>
          <w:lang w:val="en-US"/>
        </w:rPr>
        <w:t>i</w:t>
      </w:r>
      <w:proofErr w:type="spellEnd"/>
      <w:r w:rsidR="00703A09" w:rsidRPr="00D13B3A">
        <w:rPr>
          <w:lang w:val="en-US"/>
        </w:rPr>
        <w:t xml:space="preserve">) </w:t>
      </w:r>
      <w:r w:rsidR="00C65856" w:rsidRPr="00D13B3A">
        <w:rPr>
          <w:lang w:val="en-US"/>
        </w:rPr>
        <w:t xml:space="preserve">2,731 units of inputs from agriculture itself; </w:t>
      </w:r>
      <w:r w:rsidR="00C65856">
        <w:rPr>
          <w:lang w:val="en-US"/>
        </w:rPr>
        <w:t xml:space="preserve">(ii) </w:t>
      </w:r>
      <w:r w:rsidR="00703A09" w:rsidRPr="00D13B3A">
        <w:rPr>
          <w:lang w:val="en-US"/>
        </w:rPr>
        <w:t xml:space="preserve">4 units of inputs from </w:t>
      </w:r>
      <w:r w:rsidRPr="00D13B3A">
        <w:rPr>
          <w:lang w:val="en-US"/>
        </w:rPr>
        <w:t>mining</w:t>
      </w:r>
      <w:r w:rsidR="00C65856">
        <w:rPr>
          <w:lang w:val="en-US"/>
        </w:rPr>
        <w:t>;</w:t>
      </w:r>
      <w:r w:rsidRPr="00D13B3A">
        <w:rPr>
          <w:lang w:val="en-US"/>
        </w:rPr>
        <w:t xml:space="preserve"> </w:t>
      </w:r>
      <w:r w:rsidR="00C65856">
        <w:rPr>
          <w:lang w:val="en-US"/>
        </w:rPr>
        <w:t xml:space="preserve">(iii) </w:t>
      </w:r>
      <w:r w:rsidRPr="00D13B3A">
        <w:rPr>
          <w:lang w:val="en-US"/>
        </w:rPr>
        <w:t>3,322 units from manufactures</w:t>
      </w:r>
      <w:r w:rsidR="00C65856">
        <w:rPr>
          <w:lang w:val="en-US"/>
        </w:rPr>
        <w:t>; (iv)</w:t>
      </w:r>
      <w:r w:rsidRPr="00D13B3A">
        <w:rPr>
          <w:lang w:val="en-US"/>
        </w:rPr>
        <w:t xml:space="preserve"> 983 units from utilities</w:t>
      </w:r>
      <w:r w:rsidR="00C65856">
        <w:rPr>
          <w:lang w:val="en-US"/>
        </w:rPr>
        <w:t>; (v)</w:t>
      </w:r>
      <w:r w:rsidRPr="00D13B3A">
        <w:rPr>
          <w:lang w:val="en-US"/>
        </w:rPr>
        <w:t xml:space="preserve"> 121 units from construction</w:t>
      </w:r>
      <w:r w:rsidR="00C65856">
        <w:rPr>
          <w:lang w:val="en-US"/>
        </w:rPr>
        <w:t xml:space="preserve">; (vi) </w:t>
      </w:r>
      <w:r w:rsidRPr="00D13B3A">
        <w:rPr>
          <w:lang w:val="en-US"/>
        </w:rPr>
        <w:t xml:space="preserve">2,884 units </w:t>
      </w:r>
      <w:r w:rsidR="00703A09" w:rsidRPr="00D13B3A">
        <w:rPr>
          <w:lang w:val="en-US"/>
        </w:rPr>
        <w:t>from services</w:t>
      </w:r>
      <w:r w:rsidRPr="00D13B3A">
        <w:rPr>
          <w:lang w:val="en-US"/>
        </w:rPr>
        <w:t>; (</w:t>
      </w:r>
      <w:r w:rsidR="00C65856">
        <w:rPr>
          <w:lang w:val="en-US"/>
        </w:rPr>
        <w:t>v</w:t>
      </w:r>
      <w:r w:rsidRPr="00D13B3A">
        <w:rPr>
          <w:lang w:val="en-US"/>
        </w:rPr>
        <w:t xml:space="preserve">ii) </w:t>
      </w:r>
      <w:r w:rsidR="00703A09" w:rsidRPr="00D13B3A">
        <w:rPr>
          <w:lang w:val="en-US"/>
        </w:rPr>
        <w:t xml:space="preserve">1,779 units of </w:t>
      </w:r>
      <w:r w:rsidRPr="00D13B3A">
        <w:rPr>
          <w:lang w:val="en-US"/>
        </w:rPr>
        <w:t>imported inputs; (</w:t>
      </w:r>
      <w:r w:rsidR="00C65856">
        <w:rPr>
          <w:lang w:val="en-US"/>
        </w:rPr>
        <w:t>viii</w:t>
      </w:r>
      <w:r w:rsidRPr="00D13B3A">
        <w:rPr>
          <w:lang w:val="en-US"/>
        </w:rPr>
        <w:t xml:space="preserve">) </w:t>
      </w:r>
      <w:r w:rsidR="00703A09" w:rsidRPr="00D13B3A">
        <w:rPr>
          <w:lang w:val="en-US"/>
        </w:rPr>
        <w:t xml:space="preserve">129 units of </w:t>
      </w:r>
      <w:r w:rsidRPr="00D13B3A">
        <w:rPr>
          <w:lang w:val="en-US"/>
        </w:rPr>
        <w:t>taxes on products; and (</w:t>
      </w:r>
      <w:r w:rsidR="00C65856">
        <w:rPr>
          <w:lang w:val="en-US"/>
        </w:rPr>
        <w:t>ix</w:t>
      </w:r>
      <w:r w:rsidRPr="00D13B3A">
        <w:rPr>
          <w:lang w:val="en-US"/>
        </w:rPr>
        <w:t xml:space="preserve">) </w:t>
      </w:r>
      <w:r w:rsidR="00703A09" w:rsidRPr="00D13B3A">
        <w:rPr>
          <w:lang w:val="en-US"/>
        </w:rPr>
        <w:t xml:space="preserve">9,910 units of </w:t>
      </w:r>
      <w:r w:rsidRPr="00D13B3A">
        <w:rPr>
          <w:lang w:val="en-US"/>
        </w:rPr>
        <w:t>value</w:t>
      </w:r>
      <w:r w:rsidR="00703A09" w:rsidRPr="00D13B3A">
        <w:rPr>
          <w:lang w:val="en-US"/>
        </w:rPr>
        <w:t>-</w:t>
      </w:r>
      <w:r w:rsidRPr="00D13B3A">
        <w:rPr>
          <w:lang w:val="en-US"/>
        </w:rPr>
        <w:t>added in the sector, at basic prices.</w:t>
      </w:r>
    </w:p>
    <w:p w:rsidR="0025369F" w:rsidRPr="00D13B3A" w:rsidRDefault="0025369F" w:rsidP="0025369F">
      <w:pPr>
        <w:pStyle w:val="Corpodetexto"/>
        <w:spacing w:line="480" w:lineRule="auto"/>
        <w:ind w:firstLine="709"/>
        <w:rPr>
          <w:highlight w:val="yellow"/>
          <w:lang w:val="en-US"/>
        </w:rPr>
      </w:pPr>
      <w:r w:rsidRPr="00D13B3A">
        <w:rPr>
          <w:lang w:val="en-US"/>
        </w:rPr>
        <w:t xml:space="preserve">In </w:t>
      </w:r>
      <w:r w:rsidR="0012233E">
        <w:fldChar w:fldCharType="begin"/>
      </w:r>
      <w:r w:rsidR="0012233E">
        <w:instrText xml:space="preserve"> REF _Ref358281623 \h  \* MERGEFORMAT </w:instrText>
      </w:r>
      <w:r w:rsidR="0012233E">
        <w:fldChar w:fldCharType="separate"/>
      </w:r>
      <w:r w:rsidR="00DE6A26" w:rsidRPr="00DE6A26">
        <w:rPr>
          <w:lang w:val="en-US"/>
        </w:rPr>
        <w:t>Figure 8</w:t>
      </w:r>
      <w:r w:rsidR="0012233E">
        <w:fldChar w:fldCharType="end"/>
      </w:r>
      <w:r w:rsidR="005C7C3F" w:rsidRPr="00D13B3A">
        <w:rPr>
          <w:lang w:val="en-US"/>
        </w:rPr>
        <w:t xml:space="preserve"> above</w:t>
      </w:r>
      <w:r w:rsidRPr="00D13B3A">
        <w:rPr>
          <w:lang w:val="en-US"/>
        </w:rPr>
        <w:t xml:space="preserve">, </w:t>
      </w:r>
      <w:r w:rsidR="005C7C3F" w:rsidRPr="00D13B3A">
        <w:rPr>
          <w:lang w:val="en-US"/>
        </w:rPr>
        <w:t>we highlighted</w:t>
      </w:r>
      <w:r w:rsidRPr="00D13B3A">
        <w:rPr>
          <w:lang w:val="en-US"/>
        </w:rPr>
        <w:t xml:space="preserve"> in red</w:t>
      </w:r>
      <w:r w:rsidR="005C7C3F" w:rsidRPr="00D13B3A">
        <w:rPr>
          <w:lang w:val="en-US"/>
        </w:rPr>
        <w:t xml:space="preserve"> </w:t>
      </w:r>
      <w:r w:rsidRPr="00D13B3A">
        <w:rPr>
          <w:lang w:val="en-US"/>
        </w:rPr>
        <w:t xml:space="preserve">the intermediate goods matrix, which provides data about the interactions between domestic suppliers and domestic users of domestically produced </w:t>
      </w:r>
      <w:r w:rsidR="00727F2A">
        <w:rPr>
          <w:lang w:val="en-US"/>
        </w:rPr>
        <w:t xml:space="preserve">goods </w:t>
      </w:r>
      <w:r w:rsidRPr="00D13B3A">
        <w:rPr>
          <w:lang w:val="en-US"/>
        </w:rPr>
        <w:t>and services. It is by definition a squared matrix and the values recorded can be either at basic or at purchaser’s prices</w:t>
      </w:r>
      <w:r w:rsidRPr="00D13B3A">
        <w:rPr>
          <w:rStyle w:val="Refdenotaderodap"/>
          <w:lang w:val="en-US"/>
        </w:rPr>
        <w:footnoteReference w:id="24"/>
      </w:r>
      <w:r w:rsidRPr="00D13B3A">
        <w:rPr>
          <w:lang w:val="en-US"/>
        </w:rPr>
        <w:t xml:space="preserve">. </w:t>
      </w:r>
      <w:r w:rsidR="005C7C3F" w:rsidRPr="00D13B3A">
        <w:rPr>
          <w:lang w:val="en-US"/>
        </w:rPr>
        <w:t xml:space="preserve">We also emphasized in </w:t>
      </w:r>
      <w:r w:rsidR="005C7C3F" w:rsidRPr="00D13B3A">
        <w:rPr>
          <w:lang w:val="en-US"/>
        </w:rPr>
        <w:lastRenderedPageBreak/>
        <w:t xml:space="preserve">green </w:t>
      </w:r>
      <w:r w:rsidRPr="00D13B3A">
        <w:rPr>
          <w:lang w:val="en-US"/>
        </w:rPr>
        <w:t xml:space="preserve">the </w:t>
      </w:r>
      <w:r w:rsidR="005C7C3F" w:rsidRPr="00D13B3A">
        <w:rPr>
          <w:lang w:val="en-US"/>
        </w:rPr>
        <w:t xml:space="preserve">row vector representing the economy’s </w:t>
      </w:r>
      <w:r w:rsidRPr="00D13B3A">
        <w:rPr>
          <w:lang w:val="en-US"/>
        </w:rPr>
        <w:t>total imported inputs</w:t>
      </w:r>
      <w:r w:rsidR="005C7C3F" w:rsidRPr="00D13B3A">
        <w:rPr>
          <w:lang w:val="en-US"/>
        </w:rPr>
        <w:t>, per sector</w:t>
      </w:r>
      <w:r w:rsidRPr="00D13B3A">
        <w:rPr>
          <w:lang w:val="en-US"/>
        </w:rPr>
        <w:t xml:space="preserve">. </w:t>
      </w:r>
      <w:r w:rsidR="005C7C3F" w:rsidRPr="00D13B3A">
        <w:rPr>
          <w:lang w:val="en-US"/>
        </w:rPr>
        <w:t>Finally, we highlighted</w:t>
      </w:r>
      <w:r w:rsidRPr="00D13B3A">
        <w:rPr>
          <w:lang w:val="en-US"/>
        </w:rPr>
        <w:t xml:space="preserve"> in blue the </w:t>
      </w:r>
      <w:r w:rsidR="005C7C3F" w:rsidRPr="00D13B3A">
        <w:rPr>
          <w:lang w:val="en-US"/>
        </w:rPr>
        <w:t xml:space="preserve">matrix representing the uses </w:t>
      </w:r>
      <w:r w:rsidRPr="00D13B3A">
        <w:rPr>
          <w:lang w:val="en-US"/>
        </w:rPr>
        <w:t xml:space="preserve">of </w:t>
      </w:r>
      <w:r w:rsidR="005C7C3F" w:rsidRPr="00D13B3A">
        <w:rPr>
          <w:lang w:val="en-US"/>
        </w:rPr>
        <w:t xml:space="preserve">the </w:t>
      </w:r>
      <w:r w:rsidRPr="00D13B3A">
        <w:rPr>
          <w:lang w:val="en-US"/>
        </w:rPr>
        <w:t xml:space="preserve">goods </w:t>
      </w:r>
      <w:r w:rsidR="005C7C3F" w:rsidRPr="00D13B3A">
        <w:rPr>
          <w:lang w:val="en-US"/>
        </w:rPr>
        <w:t xml:space="preserve">and services produced in the economy excluding its use as inputs in </w:t>
      </w:r>
      <w:r w:rsidRPr="00D13B3A">
        <w:rPr>
          <w:lang w:val="en-US"/>
        </w:rPr>
        <w:t>domestic industries.</w:t>
      </w:r>
    </w:p>
    <w:p w:rsidR="0025369F" w:rsidRPr="00D13B3A" w:rsidRDefault="0012233E" w:rsidP="0025369F">
      <w:pPr>
        <w:pStyle w:val="Corpodetexto"/>
        <w:spacing w:line="480" w:lineRule="auto"/>
        <w:ind w:firstLine="709"/>
        <w:rPr>
          <w:lang w:val="en-US"/>
        </w:rPr>
      </w:pPr>
      <w:r>
        <w:fldChar w:fldCharType="begin"/>
      </w:r>
      <w:r>
        <w:instrText xml:space="preserve"> REF _Ref358282933 \h  \* MERGEFORMAT </w:instrText>
      </w:r>
      <w:r>
        <w:fldChar w:fldCharType="separate"/>
      </w:r>
      <w:r w:rsidR="00DE6A26" w:rsidRPr="00DE6A26">
        <w:rPr>
          <w:lang w:val="en-US"/>
        </w:rPr>
        <w:t>Figure 9</w:t>
      </w:r>
      <w:r>
        <w:fldChar w:fldCharType="end"/>
      </w:r>
      <w:r w:rsidR="000A32BE" w:rsidRPr="00D13B3A">
        <w:rPr>
          <w:lang w:val="en-US"/>
        </w:rPr>
        <w:t xml:space="preserve"> below shows t</w:t>
      </w:r>
      <w:r w:rsidR="0025369F" w:rsidRPr="00D13B3A">
        <w:rPr>
          <w:lang w:val="en-US"/>
        </w:rPr>
        <w:t>he international linkage between the IO tables of several countries</w:t>
      </w:r>
      <w:r w:rsidR="0025369F" w:rsidRPr="00D13B3A">
        <w:rPr>
          <w:vertAlign w:val="superscript"/>
          <w:lang w:val="en-US"/>
        </w:rPr>
        <w:footnoteReference w:id="25"/>
      </w:r>
      <w:r w:rsidR="0025369F" w:rsidRPr="00D13B3A">
        <w:rPr>
          <w:lang w:val="en-US"/>
        </w:rPr>
        <w:t xml:space="preserve">. </w:t>
      </w:r>
      <w:r w:rsidR="00F027B5" w:rsidRPr="00D13B3A">
        <w:rPr>
          <w:lang w:val="en-US"/>
        </w:rPr>
        <w:t>It basically disaggregat</w:t>
      </w:r>
      <w:r w:rsidR="00B43B05">
        <w:rPr>
          <w:lang w:val="en-US"/>
        </w:rPr>
        <w:t>es</w:t>
      </w:r>
      <w:r w:rsidR="00F027B5" w:rsidRPr="00D13B3A">
        <w:rPr>
          <w:lang w:val="en-US"/>
        </w:rPr>
        <w:t xml:space="preserve"> the column called “Exports” of </w:t>
      </w:r>
      <w:r>
        <w:fldChar w:fldCharType="begin"/>
      </w:r>
      <w:r>
        <w:instrText xml:space="preserve"> REF _Ref358281623 \h  \* MERGEFORMAT </w:instrText>
      </w:r>
      <w:r>
        <w:fldChar w:fldCharType="separate"/>
      </w:r>
      <w:r w:rsidR="00DE6A26" w:rsidRPr="00DE6A26">
        <w:rPr>
          <w:lang w:val="en-US"/>
        </w:rPr>
        <w:t>Figure 8</w:t>
      </w:r>
      <w:r>
        <w:fldChar w:fldCharType="end"/>
      </w:r>
      <w:r w:rsidR="0025369F" w:rsidRPr="00D13B3A">
        <w:rPr>
          <w:lang w:val="en-US"/>
        </w:rPr>
        <w:t xml:space="preserve"> above in</w:t>
      </w:r>
      <w:r w:rsidR="00F027B5" w:rsidRPr="00D13B3A">
        <w:rPr>
          <w:lang w:val="en-US"/>
        </w:rPr>
        <w:t>to</w:t>
      </w:r>
      <w:r w:rsidR="0025369F" w:rsidRPr="00D13B3A">
        <w:rPr>
          <w:lang w:val="en-US"/>
        </w:rPr>
        <w:t xml:space="preserve"> several submatrices that present</w:t>
      </w:r>
      <w:r w:rsidR="00F027B5" w:rsidRPr="00D13B3A">
        <w:rPr>
          <w:lang w:val="en-US"/>
        </w:rPr>
        <w:t>, for the trading partner economies</w:t>
      </w:r>
      <w:r w:rsidR="0025369F" w:rsidRPr="00D13B3A">
        <w:rPr>
          <w:lang w:val="en-US"/>
        </w:rPr>
        <w:t xml:space="preserve">, information about how the </w:t>
      </w:r>
      <w:r w:rsidR="00762A57" w:rsidRPr="00D13B3A">
        <w:rPr>
          <w:lang w:val="en-US"/>
        </w:rPr>
        <w:t xml:space="preserve">exported domestic </w:t>
      </w:r>
      <w:r w:rsidR="0025369F" w:rsidRPr="00D13B3A">
        <w:rPr>
          <w:lang w:val="en-US"/>
        </w:rPr>
        <w:t xml:space="preserve">goods and services </w:t>
      </w:r>
      <w:r w:rsidR="00762A57" w:rsidRPr="00D13B3A">
        <w:rPr>
          <w:lang w:val="en-US"/>
        </w:rPr>
        <w:t>have been</w:t>
      </w:r>
      <w:r w:rsidR="00B43B05">
        <w:rPr>
          <w:lang w:val="en-US"/>
        </w:rPr>
        <w:t xml:space="preserve"> used</w:t>
      </w:r>
      <w:r w:rsidR="00762A57" w:rsidRPr="00D13B3A">
        <w:rPr>
          <w:lang w:val="en-US"/>
        </w:rPr>
        <w:t>, by country of destination and by use (</w:t>
      </w:r>
      <w:r w:rsidR="00B43B05">
        <w:rPr>
          <w:lang w:val="en-US"/>
        </w:rPr>
        <w:t xml:space="preserve">as </w:t>
      </w:r>
      <w:r w:rsidR="0025369F" w:rsidRPr="00D13B3A">
        <w:rPr>
          <w:lang w:val="en-US"/>
        </w:rPr>
        <w:t>inputs</w:t>
      </w:r>
      <w:r w:rsidR="00762A57" w:rsidRPr="00D13B3A">
        <w:rPr>
          <w:lang w:val="en-US"/>
        </w:rPr>
        <w:t>, per sector;</w:t>
      </w:r>
      <w:r w:rsidR="0025369F" w:rsidRPr="00D13B3A">
        <w:rPr>
          <w:lang w:val="en-US"/>
        </w:rPr>
        <w:t xml:space="preserve"> </w:t>
      </w:r>
      <w:r w:rsidR="00B43B05">
        <w:rPr>
          <w:lang w:val="en-US"/>
        </w:rPr>
        <w:t xml:space="preserve">as </w:t>
      </w:r>
      <w:r w:rsidR="0025369F" w:rsidRPr="00D13B3A">
        <w:rPr>
          <w:lang w:val="en-US"/>
        </w:rPr>
        <w:t xml:space="preserve">private final consumption; </w:t>
      </w:r>
      <w:r w:rsidR="00B43B05">
        <w:rPr>
          <w:lang w:val="en-US"/>
        </w:rPr>
        <w:t>as g</w:t>
      </w:r>
      <w:r w:rsidR="0025369F" w:rsidRPr="00D13B3A">
        <w:rPr>
          <w:lang w:val="en-US"/>
        </w:rPr>
        <w:t xml:space="preserve">overnment final consumption; </w:t>
      </w:r>
      <w:r w:rsidR="00762A57" w:rsidRPr="00D13B3A">
        <w:rPr>
          <w:lang w:val="en-US"/>
        </w:rPr>
        <w:t xml:space="preserve">or </w:t>
      </w:r>
      <w:r w:rsidR="00B43B05">
        <w:rPr>
          <w:lang w:val="en-US"/>
        </w:rPr>
        <w:t xml:space="preserve">as </w:t>
      </w:r>
      <w:r w:rsidR="0025369F" w:rsidRPr="00D13B3A">
        <w:rPr>
          <w:lang w:val="en-US"/>
        </w:rPr>
        <w:t>GFCF</w:t>
      </w:r>
      <w:r w:rsidR="00762A57" w:rsidRPr="00D13B3A">
        <w:rPr>
          <w:lang w:val="en-US"/>
        </w:rPr>
        <w:t>)</w:t>
      </w:r>
      <w:r w:rsidR="0025369F" w:rsidRPr="00D13B3A">
        <w:rPr>
          <w:lang w:val="en-US"/>
        </w:rPr>
        <w:t xml:space="preserve">. </w:t>
      </w:r>
      <w:r w:rsidR="00762A57" w:rsidRPr="00D13B3A">
        <w:rPr>
          <w:lang w:val="en-US"/>
        </w:rPr>
        <w:t xml:space="preserve">Taking again the example of agriculture, we </w:t>
      </w:r>
      <w:r w:rsidR="00B43B05">
        <w:rPr>
          <w:lang w:val="en-US"/>
        </w:rPr>
        <w:t xml:space="preserve">mentioned before </w:t>
      </w:r>
      <w:r w:rsidR="00762A57" w:rsidRPr="00D13B3A">
        <w:rPr>
          <w:lang w:val="en-US"/>
        </w:rPr>
        <w:t xml:space="preserve">in </w:t>
      </w:r>
      <w:r>
        <w:fldChar w:fldCharType="begin"/>
      </w:r>
      <w:r>
        <w:instrText xml:space="preserve"> REF _Ref358281623 \h  \* MERGEFORMAT </w:instrText>
      </w:r>
      <w:r>
        <w:fldChar w:fldCharType="separate"/>
      </w:r>
      <w:r w:rsidR="00DE6A26" w:rsidRPr="00DE6A26">
        <w:rPr>
          <w:lang w:val="en-US"/>
        </w:rPr>
        <w:t>Figure 8</w:t>
      </w:r>
      <w:r>
        <w:fldChar w:fldCharType="end"/>
      </w:r>
      <w:r w:rsidR="00762A57" w:rsidRPr="00D13B3A">
        <w:rPr>
          <w:lang w:val="en-US"/>
        </w:rPr>
        <w:t xml:space="preserve"> that that sector </w:t>
      </w:r>
      <w:r w:rsidR="0025369F" w:rsidRPr="00D13B3A">
        <w:rPr>
          <w:lang w:val="en-US"/>
        </w:rPr>
        <w:t xml:space="preserve">supplied foreign users with 8,568 units. </w:t>
      </w:r>
      <w:r w:rsidR="00762A57" w:rsidRPr="00D13B3A">
        <w:rPr>
          <w:lang w:val="en-US"/>
        </w:rPr>
        <w:t>In addition</w:t>
      </w:r>
      <w:r w:rsidR="0025369F" w:rsidRPr="00D13B3A">
        <w:rPr>
          <w:lang w:val="en-US"/>
        </w:rPr>
        <w:t xml:space="preserve">, </w:t>
      </w:r>
      <w:r>
        <w:fldChar w:fldCharType="begin"/>
      </w:r>
      <w:r>
        <w:instrText xml:space="preserve"> REF _Ref358282933 \h  \* MERGEFORMAT </w:instrText>
      </w:r>
      <w:r>
        <w:fldChar w:fldCharType="separate"/>
      </w:r>
      <w:r w:rsidR="00DE6A26" w:rsidRPr="00DE6A26">
        <w:rPr>
          <w:lang w:val="en-US"/>
        </w:rPr>
        <w:t>Figure 9</w:t>
      </w:r>
      <w:r>
        <w:fldChar w:fldCharType="end"/>
      </w:r>
      <w:r w:rsidR="0025369F" w:rsidRPr="00D13B3A">
        <w:rPr>
          <w:lang w:val="en-US"/>
        </w:rPr>
        <w:t xml:space="preserve"> shows </w:t>
      </w:r>
      <w:r w:rsidR="00762A57" w:rsidRPr="00D13B3A">
        <w:rPr>
          <w:lang w:val="en-US"/>
        </w:rPr>
        <w:t>that those 8,568 units, disaggregated</w:t>
      </w:r>
      <w:r w:rsidR="0025369F" w:rsidRPr="00D13B3A">
        <w:rPr>
          <w:lang w:val="en-US"/>
        </w:rPr>
        <w:t xml:space="preserve"> per country and per </w:t>
      </w:r>
      <w:r w:rsidR="00762A57" w:rsidRPr="00D13B3A">
        <w:rPr>
          <w:lang w:val="en-US"/>
        </w:rPr>
        <w:t>final use, were used</w:t>
      </w:r>
      <w:r w:rsidR="00B43B05">
        <w:rPr>
          <w:lang w:val="en-US"/>
        </w:rPr>
        <w:t xml:space="preserve">, for example, </w:t>
      </w:r>
      <w:r w:rsidR="00762A57" w:rsidRPr="00D13B3A">
        <w:rPr>
          <w:lang w:val="en-US"/>
        </w:rPr>
        <w:t>as it follows: (</w:t>
      </w:r>
      <w:proofErr w:type="spellStart"/>
      <w:r w:rsidR="00762A57" w:rsidRPr="00D13B3A">
        <w:rPr>
          <w:lang w:val="en-US"/>
        </w:rPr>
        <w:t>i</w:t>
      </w:r>
      <w:proofErr w:type="spellEnd"/>
      <w:r w:rsidR="00762A57" w:rsidRPr="00D13B3A">
        <w:rPr>
          <w:lang w:val="en-US"/>
        </w:rPr>
        <w:t xml:space="preserve">) </w:t>
      </w:r>
      <w:r w:rsidR="0025369F" w:rsidRPr="00D13B3A">
        <w:rPr>
          <w:lang w:val="en-US"/>
        </w:rPr>
        <w:t>343 units as inputs in the production of manufactures of country B</w:t>
      </w:r>
      <w:r w:rsidR="00762A57" w:rsidRPr="00D13B3A">
        <w:rPr>
          <w:lang w:val="en-US"/>
        </w:rPr>
        <w:t>;</w:t>
      </w:r>
      <w:r w:rsidR="0025369F" w:rsidRPr="00D13B3A">
        <w:rPr>
          <w:lang w:val="en-US"/>
        </w:rPr>
        <w:t xml:space="preserve"> </w:t>
      </w:r>
      <w:r w:rsidR="00762A57" w:rsidRPr="00D13B3A">
        <w:rPr>
          <w:lang w:val="en-US"/>
        </w:rPr>
        <w:t xml:space="preserve">or (ii) </w:t>
      </w:r>
      <w:r w:rsidR="0025369F" w:rsidRPr="00D13B3A">
        <w:rPr>
          <w:lang w:val="en-US"/>
        </w:rPr>
        <w:t>1,285 units as private</w:t>
      </w:r>
      <w:r w:rsidR="00762A57" w:rsidRPr="00D13B3A">
        <w:rPr>
          <w:lang w:val="en-US"/>
        </w:rPr>
        <w:t xml:space="preserve"> final consumption also in country B</w:t>
      </w:r>
      <w:r w:rsidR="0025369F" w:rsidRPr="00D13B3A">
        <w:rPr>
          <w:lang w:val="en-US"/>
        </w:rPr>
        <w:t>.</w:t>
      </w:r>
      <w:r w:rsidR="00762A57" w:rsidRPr="00D13B3A">
        <w:rPr>
          <w:lang w:val="en-US"/>
        </w:rPr>
        <w:t xml:space="preserve"> The same rationale applies in terms of columns, where </w:t>
      </w:r>
      <w:r>
        <w:fldChar w:fldCharType="begin"/>
      </w:r>
      <w:r>
        <w:instrText xml:space="preserve"> REF _Ref358282933 \h  \* MERGEFORMAT </w:instrText>
      </w:r>
      <w:r>
        <w:fldChar w:fldCharType="separate"/>
      </w:r>
      <w:r w:rsidR="00DE6A26" w:rsidRPr="00DE6A26">
        <w:rPr>
          <w:lang w:val="en-US"/>
        </w:rPr>
        <w:t>Figure 9</w:t>
      </w:r>
      <w:r>
        <w:fldChar w:fldCharType="end"/>
      </w:r>
      <w:r w:rsidR="00762A57" w:rsidRPr="00D13B3A">
        <w:rPr>
          <w:lang w:val="en-US"/>
        </w:rPr>
        <w:t xml:space="preserve"> below basically disaggregates the row called “Imports” of </w:t>
      </w:r>
      <w:r>
        <w:fldChar w:fldCharType="begin"/>
      </w:r>
      <w:r>
        <w:instrText xml:space="preserve"> REF _Ref358281623 \h  \* MERGEFORMAT </w:instrText>
      </w:r>
      <w:r>
        <w:fldChar w:fldCharType="separate"/>
      </w:r>
      <w:r w:rsidR="00DE6A26" w:rsidRPr="00DE6A26">
        <w:rPr>
          <w:lang w:val="en-US"/>
        </w:rPr>
        <w:t>Figure 8</w:t>
      </w:r>
      <w:r>
        <w:fldChar w:fldCharType="end"/>
      </w:r>
      <w:r w:rsidR="00762A57" w:rsidRPr="00D13B3A">
        <w:rPr>
          <w:lang w:val="en-US"/>
        </w:rPr>
        <w:t xml:space="preserve"> above into several submatrices that present, for the trading partner economies, information about how the imported foreign goods and services have been used as inputs in country A’s economy, by country of origin and </w:t>
      </w:r>
      <w:r w:rsidR="00FD3573" w:rsidRPr="00D13B3A">
        <w:rPr>
          <w:lang w:val="en-US"/>
        </w:rPr>
        <w:t xml:space="preserve">by </w:t>
      </w:r>
      <w:r w:rsidR="00762A57" w:rsidRPr="00D13B3A">
        <w:rPr>
          <w:lang w:val="en-US"/>
        </w:rPr>
        <w:t xml:space="preserve">sector. </w:t>
      </w:r>
      <w:r w:rsidR="00B43B05">
        <w:rPr>
          <w:lang w:val="en-US"/>
        </w:rPr>
        <w:t xml:space="preserve">We observe in this regard </w:t>
      </w:r>
      <w:r w:rsidR="00762A57" w:rsidRPr="00D13B3A">
        <w:rPr>
          <w:lang w:val="en-US"/>
        </w:rPr>
        <w:t xml:space="preserve">that the </w:t>
      </w:r>
      <w:r w:rsidR="009C0D8B" w:rsidRPr="00D13B3A">
        <w:rPr>
          <w:lang w:val="en-US"/>
        </w:rPr>
        <w:t xml:space="preserve">value of the </w:t>
      </w:r>
      <w:r w:rsidR="00762A57" w:rsidRPr="00D13B3A">
        <w:rPr>
          <w:lang w:val="en-US"/>
        </w:rPr>
        <w:t xml:space="preserve">1,779 units of foreign imports used as inputs mentioned in </w:t>
      </w:r>
      <w:r>
        <w:fldChar w:fldCharType="begin"/>
      </w:r>
      <w:r>
        <w:instrText xml:space="preserve"> REF _Ref358281623 \h  \* MERGEFORMAT </w:instrText>
      </w:r>
      <w:r>
        <w:fldChar w:fldCharType="separate"/>
      </w:r>
      <w:r w:rsidR="00DE6A26" w:rsidRPr="00DE6A26">
        <w:rPr>
          <w:lang w:val="en-US"/>
        </w:rPr>
        <w:t>Figure 8</w:t>
      </w:r>
      <w:r>
        <w:fldChar w:fldCharType="end"/>
      </w:r>
      <w:r w:rsidR="00762A57" w:rsidRPr="00D13B3A">
        <w:rPr>
          <w:lang w:val="en-US"/>
        </w:rPr>
        <w:t xml:space="preserve"> included, for instance: </w:t>
      </w:r>
      <w:r w:rsidR="00B43B05">
        <w:rPr>
          <w:lang w:val="en-US"/>
        </w:rPr>
        <w:br/>
      </w:r>
      <w:r w:rsidR="00762A57" w:rsidRPr="00D13B3A">
        <w:rPr>
          <w:lang w:val="en-US"/>
        </w:rPr>
        <w:t>(</w:t>
      </w:r>
      <w:proofErr w:type="spellStart"/>
      <w:r w:rsidR="00762A57" w:rsidRPr="00D13B3A">
        <w:rPr>
          <w:lang w:val="en-US"/>
        </w:rPr>
        <w:t>i</w:t>
      </w:r>
      <w:proofErr w:type="spellEnd"/>
      <w:r w:rsidR="00762A57" w:rsidRPr="00D13B3A">
        <w:rPr>
          <w:lang w:val="en-US"/>
        </w:rPr>
        <w:t xml:space="preserve">) </w:t>
      </w:r>
      <w:r w:rsidR="009C0D8B" w:rsidRPr="00D13B3A">
        <w:rPr>
          <w:lang w:val="en-US"/>
        </w:rPr>
        <w:t xml:space="preserve">338 </w:t>
      </w:r>
      <w:r w:rsidR="00762A57" w:rsidRPr="00D13B3A">
        <w:rPr>
          <w:lang w:val="en-US"/>
        </w:rPr>
        <w:t xml:space="preserve">units of </w:t>
      </w:r>
      <w:r w:rsidR="009C0D8B" w:rsidRPr="00D13B3A">
        <w:rPr>
          <w:lang w:val="en-US"/>
        </w:rPr>
        <w:t xml:space="preserve">inputs from the services sector </w:t>
      </w:r>
      <w:r w:rsidR="00762A57" w:rsidRPr="00D13B3A">
        <w:rPr>
          <w:lang w:val="en-US"/>
        </w:rPr>
        <w:t xml:space="preserve">of country B; or (ii) </w:t>
      </w:r>
      <w:r w:rsidR="009C0D8B" w:rsidRPr="00D13B3A">
        <w:rPr>
          <w:lang w:val="en-US"/>
        </w:rPr>
        <w:t>107</w:t>
      </w:r>
      <w:r w:rsidR="00762A57" w:rsidRPr="00D13B3A">
        <w:rPr>
          <w:lang w:val="en-US"/>
        </w:rPr>
        <w:t xml:space="preserve"> units </w:t>
      </w:r>
      <w:r w:rsidR="009C0D8B" w:rsidRPr="00D13B3A">
        <w:rPr>
          <w:lang w:val="en-US"/>
        </w:rPr>
        <w:t>of inputs from the construction sector in the Rest of the World (</w:t>
      </w:r>
      <w:proofErr w:type="spellStart"/>
      <w:r w:rsidR="009C0D8B" w:rsidRPr="00D13B3A">
        <w:rPr>
          <w:lang w:val="en-US"/>
        </w:rPr>
        <w:t>RoW</w:t>
      </w:r>
      <w:proofErr w:type="spellEnd"/>
      <w:r w:rsidR="009C0D8B" w:rsidRPr="00D13B3A">
        <w:rPr>
          <w:lang w:val="en-US"/>
        </w:rPr>
        <w:t>)</w:t>
      </w:r>
      <w:r w:rsidR="00FD3573" w:rsidRPr="00D13B3A">
        <w:rPr>
          <w:lang w:val="en-US"/>
        </w:rPr>
        <w:t>, i.e. in countries not specifically covered in the sample</w:t>
      </w:r>
      <w:r w:rsidR="00762A57" w:rsidRPr="00D13B3A">
        <w:rPr>
          <w:lang w:val="en-US"/>
        </w:rPr>
        <w:t>.</w:t>
      </w:r>
    </w:p>
    <w:p w:rsidR="0025369F" w:rsidRPr="00D13B3A" w:rsidRDefault="0025369F" w:rsidP="0025369F">
      <w:pPr>
        <w:pStyle w:val="Figure"/>
      </w:pPr>
      <w:bookmarkStart w:id="36" w:name="_Ref358282933"/>
      <w:bookmarkStart w:id="37" w:name="_Toc438749258"/>
      <w:bookmarkStart w:id="38" w:name="_Toc494032894"/>
      <w:r w:rsidRPr="00D13B3A">
        <w:lastRenderedPageBreak/>
        <w:t xml:space="preserve">Figure </w:t>
      </w:r>
      <w:r w:rsidR="0012233E">
        <w:rPr>
          <w:noProof/>
        </w:rPr>
        <w:fldChar w:fldCharType="begin"/>
      </w:r>
      <w:r w:rsidR="0012233E">
        <w:rPr>
          <w:noProof/>
        </w:rPr>
        <w:instrText xml:space="preserve"> SEQ Figure \* ARABIC </w:instrText>
      </w:r>
      <w:r w:rsidR="0012233E">
        <w:rPr>
          <w:noProof/>
        </w:rPr>
        <w:fldChar w:fldCharType="separate"/>
      </w:r>
      <w:r w:rsidR="00DE6A26">
        <w:rPr>
          <w:noProof/>
        </w:rPr>
        <w:t>9</w:t>
      </w:r>
      <w:r w:rsidR="0012233E">
        <w:rPr>
          <w:noProof/>
        </w:rPr>
        <w:fldChar w:fldCharType="end"/>
      </w:r>
      <w:bookmarkEnd w:id="36"/>
      <w:r w:rsidRPr="00D13B3A">
        <w:t xml:space="preserve"> - </w:t>
      </w:r>
      <w:r w:rsidRPr="00D13B3A">
        <w:rPr>
          <w:lang w:eastAsia="en-US"/>
        </w:rPr>
        <w:t>The basic structure of an internationally</w:t>
      </w:r>
      <w:r w:rsidR="00FD3573" w:rsidRPr="00D13B3A">
        <w:rPr>
          <w:lang w:eastAsia="en-US"/>
        </w:rPr>
        <w:t>-</w:t>
      </w:r>
      <w:r w:rsidRPr="00D13B3A">
        <w:rPr>
          <w:lang w:eastAsia="en-US"/>
        </w:rPr>
        <w:t xml:space="preserve">linked IO </w:t>
      </w:r>
      <w:r w:rsidR="00B43B05">
        <w:rPr>
          <w:lang w:eastAsia="en-US"/>
        </w:rPr>
        <w:t>t</w:t>
      </w:r>
      <w:r w:rsidRPr="00D13B3A">
        <w:rPr>
          <w:lang w:eastAsia="en-US"/>
        </w:rPr>
        <w:t>able</w:t>
      </w:r>
      <w:r w:rsidRPr="00D13B3A">
        <w:t xml:space="preserve"> (for three regions)</w:t>
      </w:r>
      <w:bookmarkEnd w:id="37"/>
      <w:bookmarkEnd w:id="38"/>
    </w:p>
    <w:p w:rsidR="0025369F" w:rsidRPr="00D13B3A" w:rsidRDefault="0025369F" w:rsidP="0025369F">
      <w:pPr>
        <w:pStyle w:val="Corpodetexto"/>
        <w:spacing w:before="240" w:after="240"/>
        <w:ind w:left="-851"/>
        <w:jc w:val="center"/>
        <w:rPr>
          <w:sz w:val="18"/>
          <w:szCs w:val="18"/>
          <w:lang w:val="en-US"/>
        </w:rPr>
      </w:pPr>
      <w:r w:rsidRPr="00D13B3A">
        <w:rPr>
          <w:noProof/>
          <w:sz w:val="18"/>
          <w:szCs w:val="18"/>
          <w:lang w:val="pt-PT"/>
        </w:rPr>
        <w:drawing>
          <wp:inline distT="0" distB="0" distL="0" distR="0">
            <wp:extent cx="6389004" cy="2152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392390" cy="2153941"/>
                    </a:xfrm>
                    <a:prstGeom prst="rect">
                      <a:avLst/>
                    </a:prstGeom>
                  </pic:spPr>
                </pic:pic>
              </a:graphicData>
            </a:graphic>
          </wp:inline>
        </w:drawing>
      </w:r>
    </w:p>
    <w:p w:rsidR="0025369F" w:rsidRPr="00D13B3A" w:rsidRDefault="0025369F" w:rsidP="0025369F">
      <w:pPr>
        <w:pStyle w:val="Corpodetexto"/>
        <w:spacing w:before="240" w:after="240"/>
        <w:jc w:val="center"/>
        <w:rPr>
          <w:sz w:val="18"/>
          <w:szCs w:val="18"/>
          <w:lang w:val="en-US"/>
        </w:rPr>
      </w:pPr>
      <w:r w:rsidRPr="00D13B3A">
        <w:rPr>
          <w:sz w:val="18"/>
          <w:szCs w:val="18"/>
          <w:lang w:val="en-US"/>
        </w:rPr>
        <w:t>Source: Author, based on Timmer et al (2012a).</w:t>
      </w:r>
    </w:p>
    <w:p w:rsidR="00D571A1" w:rsidRPr="00D13B3A" w:rsidRDefault="00CC57BA" w:rsidP="00D571A1">
      <w:pPr>
        <w:pStyle w:val="Corpodetexto"/>
        <w:spacing w:line="480" w:lineRule="auto"/>
        <w:ind w:firstLine="709"/>
        <w:rPr>
          <w:lang w:val="en-US"/>
        </w:rPr>
      </w:pPr>
      <w:r w:rsidRPr="00D13B3A">
        <w:rPr>
          <w:lang w:val="en-US"/>
        </w:rPr>
        <w:t xml:space="preserve">Several initiatives emerged in recent years </w:t>
      </w:r>
      <w:r w:rsidR="00291D59" w:rsidRPr="00D13B3A">
        <w:rPr>
          <w:lang w:val="en-US"/>
        </w:rPr>
        <w:t xml:space="preserve">to work with IO matrices: </w:t>
      </w:r>
      <w:r w:rsidR="00D571A1">
        <w:rPr>
          <w:lang w:val="en-US"/>
        </w:rPr>
        <w:t xml:space="preserve">initially </w:t>
      </w:r>
      <w:r w:rsidR="00291D59" w:rsidRPr="00D13B3A">
        <w:rPr>
          <w:lang w:val="en-US"/>
        </w:rPr>
        <w:t>with national accounts and</w:t>
      </w:r>
      <w:r w:rsidR="00D571A1">
        <w:rPr>
          <w:lang w:val="en-US"/>
        </w:rPr>
        <w:t>,</w:t>
      </w:r>
      <w:r w:rsidR="00291D59" w:rsidRPr="00D13B3A">
        <w:rPr>
          <w:lang w:val="en-US"/>
        </w:rPr>
        <w:t xml:space="preserve"> more recently</w:t>
      </w:r>
      <w:r w:rsidR="00D571A1">
        <w:rPr>
          <w:lang w:val="en-US"/>
        </w:rPr>
        <w:t>,</w:t>
      </w:r>
      <w:r w:rsidR="00291D59" w:rsidRPr="00D13B3A">
        <w:rPr>
          <w:lang w:val="en-US"/>
        </w:rPr>
        <w:t xml:space="preserve"> with internationally-linked IO matrices</w:t>
      </w:r>
      <w:r w:rsidR="001F3EB0" w:rsidRPr="00D13B3A">
        <w:rPr>
          <w:lang w:val="en-US"/>
        </w:rPr>
        <w:t xml:space="preserve"> </w:t>
      </w:r>
      <w:r w:rsidR="00291D59" w:rsidRPr="00D13B3A">
        <w:rPr>
          <w:lang w:val="en-US"/>
        </w:rPr>
        <w:t>link</w:t>
      </w:r>
      <w:r w:rsidR="001F3EB0" w:rsidRPr="00D13B3A">
        <w:rPr>
          <w:lang w:val="en-US"/>
        </w:rPr>
        <w:t>ing</w:t>
      </w:r>
      <w:r w:rsidRPr="00D13B3A">
        <w:rPr>
          <w:lang w:val="en-US"/>
        </w:rPr>
        <w:t xml:space="preserve"> </w:t>
      </w:r>
      <w:r w:rsidR="00234C76" w:rsidRPr="00D13B3A">
        <w:rPr>
          <w:lang w:val="en-US"/>
        </w:rPr>
        <w:t xml:space="preserve">production </w:t>
      </w:r>
      <w:r w:rsidR="00291D59" w:rsidRPr="00D13B3A">
        <w:rPr>
          <w:lang w:val="en-US"/>
        </w:rPr>
        <w:t xml:space="preserve">via trade in inputs </w:t>
      </w:r>
      <w:r w:rsidR="00234C76" w:rsidRPr="00D13B3A">
        <w:rPr>
          <w:lang w:val="en-US"/>
        </w:rPr>
        <w:t>within and across countries</w:t>
      </w:r>
      <w:r w:rsidR="001F3EB0" w:rsidRPr="00D13B3A">
        <w:rPr>
          <w:lang w:val="en-US"/>
        </w:rPr>
        <w:t xml:space="preserve"> and sectors</w:t>
      </w:r>
      <w:r w:rsidRPr="00D13B3A">
        <w:rPr>
          <w:lang w:val="en-US"/>
        </w:rPr>
        <w:t>.</w:t>
      </w:r>
      <w:r w:rsidR="00291D59" w:rsidRPr="00D13B3A">
        <w:rPr>
          <w:lang w:val="en-US"/>
        </w:rPr>
        <w:t xml:space="preserve"> </w:t>
      </w:r>
      <w:r w:rsidR="0012233E">
        <w:fldChar w:fldCharType="begin"/>
      </w:r>
      <w:r w:rsidR="0012233E">
        <w:instrText xml:space="preserve"> REF _Ref441872939 \h  \* MERGEFORMAT </w:instrText>
      </w:r>
      <w:r w:rsidR="0012233E">
        <w:fldChar w:fldCharType="separate"/>
      </w:r>
      <w:r w:rsidR="00DE6A26" w:rsidRPr="00DE6A26">
        <w:rPr>
          <w:lang w:val="en-US"/>
        </w:rPr>
        <w:t>Table III</w:t>
      </w:r>
      <w:r w:rsidR="0012233E">
        <w:fldChar w:fldCharType="end"/>
      </w:r>
      <w:r w:rsidR="00291D59" w:rsidRPr="00D13B3A">
        <w:rPr>
          <w:lang w:val="en-US"/>
        </w:rPr>
        <w:t xml:space="preserve"> below specifically compares the scope and reach of the main internationally-linked IO databases </w:t>
      </w:r>
      <w:r w:rsidR="00D571A1">
        <w:rPr>
          <w:lang w:val="en-US"/>
        </w:rPr>
        <w:t>created</w:t>
      </w:r>
      <w:r w:rsidR="00291D59" w:rsidRPr="00D13B3A">
        <w:rPr>
          <w:lang w:val="en-US"/>
        </w:rPr>
        <w:t xml:space="preserve"> so far, namely</w:t>
      </w:r>
      <w:r w:rsidR="001F3EB0" w:rsidRPr="00D13B3A">
        <w:rPr>
          <w:rStyle w:val="Refdenotaderodap"/>
          <w:lang w:val="en-US"/>
        </w:rPr>
        <w:footnoteReference w:id="26"/>
      </w:r>
      <w:r w:rsidR="00291D59" w:rsidRPr="00D13B3A">
        <w:rPr>
          <w:lang w:val="en-US"/>
        </w:rPr>
        <w:t>:</w:t>
      </w:r>
      <w:r w:rsidR="00291D59" w:rsidRPr="00D13B3A">
        <w:rPr>
          <w:sz w:val="18"/>
          <w:szCs w:val="18"/>
          <w:lang w:val="en-US"/>
        </w:rPr>
        <w:t xml:space="preserve"> </w:t>
      </w:r>
      <w:r w:rsidR="00E17AF4" w:rsidRPr="00D13B3A">
        <w:rPr>
          <w:lang w:val="en-US"/>
        </w:rPr>
        <w:t>(</w:t>
      </w:r>
      <w:proofErr w:type="spellStart"/>
      <w:r w:rsidR="00E17AF4" w:rsidRPr="00D13B3A">
        <w:rPr>
          <w:lang w:val="en-US"/>
        </w:rPr>
        <w:t>i</w:t>
      </w:r>
      <w:proofErr w:type="spellEnd"/>
      <w:r w:rsidR="00E17AF4" w:rsidRPr="00D13B3A">
        <w:rPr>
          <w:lang w:val="en-US"/>
        </w:rPr>
        <w:t>) the Global Trade Analysis Project (GTAP) database, launched by Purdue University, its first version dating back to 1993</w:t>
      </w:r>
      <w:r w:rsidR="00D571A1">
        <w:rPr>
          <w:lang w:val="en-US"/>
        </w:rPr>
        <w:t>,</w:t>
      </w:r>
      <w:r w:rsidR="00E17AF4" w:rsidRPr="00D13B3A">
        <w:rPr>
          <w:lang w:val="en-US"/>
        </w:rPr>
        <w:t xml:space="preserve"> but with a very limited scope; (ii) the Institute of Developing Economies of the Japan External Trade Organization (IDE-JETRO) database, the most recent </w:t>
      </w:r>
      <w:r w:rsidR="00D571A1">
        <w:rPr>
          <w:lang w:val="en-US"/>
        </w:rPr>
        <w:t xml:space="preserve">version </w:t>
      </w:r>
      <w:r w:rsidR="00E17AF4" w:rsidRPr="00D13B3A">
        <w:rPr>
          <w:lang w:val="en-US"/>
        </w:rPr>
        <w:t>launched for 2005; (iii) Eurostat IO databases, existing for selected EU countries</w:t>
      </w:r>
      <w:r w:rsidR="00E17AF4" w:rsidRPr="00D13B3A">
        <w:rPr>
          <w:rStyle w:val="Refdenotaderodap"/>
          <w:lang w:val="en-US"/>
        </w:rPr>
        <w:footnoteReference w:id="27"/>
      </w:r>
      <w:r w:rsidR="00E17AF4" w:rsidRPr="00D13B3A">
        <w:rPr>
          <w:lang w:val="en-US"/>
        </w:rPr>
        <w:t xml:space="preserve">; </w:t>
      </w:r>
      <w:r w:rsidR="00291D59" w:rsidRPr="00D13B3A">
        <w:rPr>
          <w:lang w:val="en-US"/>
        </w:rPr>
        <w:t>(i</w:t>
      </w:r>
      <w:r w:rsidR="00E17AF4" w:rsidRPr="00D13B3A">
        <w:rPr>
          <w:lang w:val="en-US"/>
        </w:rPr>
        <w:t>v</w:t>
      </w:r>
      <w:r w:rsidR="00291D59" w:rsidRPr="00D13B3A">
        <w:rPr>
          <w:lang w:val="en-US"/>
        </w:rPr>
        <w:t xml:space="preserve">) </w:t>
      </w:r>
      <w:r w:rsidR="001F3EB0" w:rsidRPr="00D13B3A">
        <w:rPr>
          <w:lang w:val="en-US"/>
        </w:rPr>
        <w:t xml:space="preserve">the WIOD, launched </w:t>
      </w:r>
      <w:r w:rsidR="00D571A1">
        <w:rPr>
          <w:lang w:val="en-US"/>
        </w:rPr>
        <w:t xml:space="preserve">firstly </w:t>
      </w:r>
      <w:r w:rsidR="001F3EB0" w:rsidRPr="00D13B3A">
        <w:rPr>
          <w:lang w:val="en-US"/>
        </w:rPr>
        <w:t>on April 2012 by the University of Groningen</w:t>
      </w:r>
      <w:r w:rsidR="00E17AF4" w:rsidRPr="00D13B3A">
        <w:rPr>
          <w:lang w:val="en-US"/>
        </w:rPr>
        <w:t>;</w:t>
      </w:r>
      <w:r w:rsidR="001F3EB0" w:rsidRPr="00D13B3A">
        <w:rPr>
          <w:lang w:val="en-US"/>
        </w:rPr>
        <w:t xml:space="preserve"> (</w:t>
      </w:r>
      <w:r w:rsidR="00E17AF4" w:rsidRPr="00D13B3A">
        <w:rPr>
          <w:lang w:val="en-US"/>
        </w:rPr>
        <w:t>v</w:t>
      </w:r>
      <w:r w:rsidR="001F3EB0" w:rsidRPr="00D13B3A">
        <w:rPr>
          <w:lang w:val="en-US"/>
        </w:rPr>
        <w:t>) the MIWI, launched on January 2013 jointly by the OECD and the World Trade Organization</w:t>
      </w:r>
      <w:r w:rsidR="00D571A1">
        <w:rPr>
          <w:lang w:val="en-US"/>
        </w:rPr>
        <w:t xml:space="preserve"> (WTO)</w:t>
      </w:r>
      <w:r w:rsidR="001F3EB0" w:rsidRPr="00D13B3A">
        <w:rPr>
          <w:lang w:val="en-US"/>
        </w:rPr>
        <w:t xml:space="preserve">; </w:t>
      </w:r>
      <w:r w:rsidR="0068007C" w:rsidRPr="00D13B3A">
        <w:rPr>
          <w:lang w:val="en-US"/>
        </w:rPr>
        <w:t xml:space="preserve">and </w:t>
      </w:r>
      <w:r w:rsidR="001F3EB0" w:rsidRPr="00D13B3A">
        <w:rPr>
          <w:lang w:val="en-US"/>
        </w:rPr>
        <w:t xml:space="preserve">(vi) the </w:t>
      </w:r>
      <w:r w:rsidR="0068007C" w:rsidRPr="00D13B3A">
        <w:rPr>
          <w:lang w:val="en-US"/>
        </w:rPr>
        <w:t>EORA</w:t>
      </w:r>
      <w:r w:rsidR="001F5E34" w:rsidRPr="00D13B3A">
        <w:rPr>
          <w:lang w:val="en-US"/>
        </w:rPr>
        <w:t>-GVC database</w:t>
      </w:r>
      <w:r w:rsidR="0068007C" w:rsidRPr="00D13B3A">
        <w:rPr>
          <w:lang w:val="en-US"/>
        </w:rPr>
        <w:t xml:space="preserve">, </w:t>
      </w:r>
      <w:r w:rsidR="00D571A1" w:rsidRPr="00D13B3A">
        <w:rPr>
          <w:lang w:val="en-US"/>
        </w:rPr>
        <w:t>launched in February 2013</w:t>
      </w:r>
      <w:r w:rsidR="00D571A1">
        <w:rPr>
          <w:lang w:val="en-US"/>
        </w:rPr>
        <w:t xml:space="preserve"> </w:t>
      </w:r>
      <w:r w:rsidR="0068007C" w:rsidRPr="00D13B3A">
        <w:rPr>
          <w:lang w:val="en-US"/>
        </w:rPr>
        <w:t>by the UNCTAD</w:t>
      </w:r>
      <w:r w:rsidR="001F5E34" w:rsidRPr="00D13B3A">
        <w:rPr>
          <w:lang w:val="en-US"/>
        </w:rPr>
        <w:t xml:space="preserve">, focused </w:t>
      </w:r>
      <w:r w:rsidR="00D571A1">
        <w:rPr>
          <w:lang w:val="en-US"/>
        </w:rPr>
        <w:t>o</w:t>
      </w:r>
      <w:r w:rsidR="001F5E34" w:rsidRPr="00D13B3A">
        <w:rPr>
          <w:lang w:val="en-US"/>
        </w:rPr>
        <w:t xml:space="preserve">n the nexus between trade and </w:t>
      </w:r>
      <w:r w:rsidR="001F5E34" w:rsidRPr="00D13B3A">
        <w:rPr>
          <w:lang w:val="en-US"/>
        </w:rPr>
        <w:lastRenderedPageBreak/>
        <w:t>investment,</w:t>
      </w:r>
      <w:r w:rsidR="00E17AF4" w:rsidRPr="00D13B3A">
        <w:rPr>
          <w:lang w:val="en-US"/>
        </w:rPr>
        <w:t xml:space="preserve"> </w:t>
      </w:r>
      <w:r w:rsidR="00D571A1">
        <w:rPr>
          <w:lang w:val="en-US"/>
        </w:rPr>
        <w:t xml:space="preserve">although </w:t>
      </w:r>
      <w:r w:rsidR="0068007C" w:rsidRPr="00D13B3A">
        <w:rPr>
          <w:lang w:val="en-US"/>
        </w:rPr>
        <w:t xml:space="preserve">currently </w:t>
      </w:r>
      <w:r w:rsidR="00E17AF4" w:rsidRPr="00D13B3A">
        <w:rPr>
          <w:lang w:val="en-US"/>
        </w:rPr>
        <w:t xml:space="preserve">still </w:t>
      </w:r>
      <w:r w:rsidR="0068007C" w:rsidRPr="00D13B3A">
        <w:rPr>
          <w:lang w:val="en-US"/>
        </w:rPr>
        <w:t>in the format of meta database</w:t>
      </w:r>
      <w:r w:rsidR="001F5E34" w:rsidRPr="00D13B3A">
        <w:rPr>
          <w:rStyle w:val="Refdenotaderodap"/>
          <w:lang w:val="en-US"/>
        </w:rPr>
        <w:footnoteReference w:id="28"/>
      </w:r>
      <w:r w:rsidR="001F3EB0" w:rsidRPr="00D13B3A">
        <w:rPr>
          <w:lang w:val="en-US"/>
        </w:rPr>
        <w:t>.</w:t>
      </w:r>
      <w:r w:rsidR="0068007C" w:rsidRPr="00D13B3A">
        <w:rPr>
          <w:lang w:val="en-US"/>
        </w:rPr>
        <w:t xml:space="preserve"> </w:t>
      </w:r>
      <w:r w:rsidR="00D571A1" w:rsidRPr="00D13B3A">
        <w:rPr>
          <w:lang w:val="en-US"/>
        </w:rPr>
        <w:t xml:space="preserve">Particularly the WIOD and the MIWI became widely-used tools to assess the effects of the international fragmentation of production. Enthusiastic trade economists rapidly started using them, for example, to slice up GVCs and derive new measures of competitiveness and </w:t>
      </w:r>
      <w:proofErr w:type="spellStart"/>
      <w:r w:rsidR="00D571A1" w:rsidRPr="00D13B3A">
        <w:rPr>
          <w:lang w:val="en-US"/>
        </w:rPr>
        <w:t>TiVA</w:t>
      </w:r>
      <w:proofErr w:type="spellEnd"/>
      <w:r w:rsidR="00D571A1" w:rsidRPr="00D13B3A">
        <w:rPr>
          <w:lang w:val="en-US"/>
        </w:rPr>
        <w:t xml:space="preserve"> or to measure the effects of international outsourcing in labor demand or in inequality. </w:t>
      </w:r>
    </w:p>
    <w:p w:rsidR="00D571A1" w:rsidRPr="00D13B3A" w:rsidRDefault="00D571A1" w:rsidP="001F3EB0">
      <w:pPr>
        <w:pStyle w:val="Corpodetexto"/>
        <w:spacing w:line="480" w:lineRule="auto"/>
        <w:ind w:firstLine="709"/>
        <w:rPr>
          <w:lang w:val="en-US"/>
        </w:rPr>
      </w:pPr>
    </w:p>
    <w:p w:rsidR="00291D59" w:rsidRPr="00D13B3A" w:rsidRDefault="00291D59" w:rsidP="00D571A1">
      <w:pPr>
        <w:pStyle w:val="Table"/>
        <w:ind w:left="-284" w:right="-285"/>
      </w:pPr>
      <w:bookmarkStart w:id="39" w:name="_Ref360109082"/>
      <w:bookmarkStart w:id="40" w:name="_Ref441872939"/>
      <w:bookmarkStart w:id="41" w:name="_Toc441526346"/>
      <w:bookmarkStart w:id="42" w:name="_Toc494032906"/>
      <w:r w:rsidRPr="00D13B3A">
        <w:t xml:space="preserve">Table </w:t>
      </w:r>
      <w:bookmarkEnd w:id="39"/>
      <w:r w:rsidR="00E27028" w:rsidRPr="00D13B3A">
        <w:fldChar w:fldCharType="begin"/>
      </w:r>
      <w:r w:rsidRPr="00D13B3A">
        <w:instrText xml:space="preserve"> SEQ Table \* ARABIC \* ROMAN </w:instrText>
      </w:r>
      <w:r w:rsidR="00E27028" w:rsidRPr="00D13B3A">
        <w:fldChar w:fldCharType="separate"/>
      </w:r>
      <w:r w:rsidR="00DE6A26">
        <w:rPr>
          <w:noProof/>
        </w:rPr>
        <w:t>III</w:t>
      </w:r>
      <w:r w:rsidR="00E27028" w:rsidRPr="00D13B3A">
        <w:fldChar w:fldCharType="end"/>
      </w:r>
      <w:bookmarkEnd w:id="40"/>
      <w:r w:rsidRPr="00D13B3A">
        <w:t xml:space="preserve"> - Comparative analysis of the main internationally linked IO databases</w:t>
      </w:r>
      <w:bookmarkEnd w:id="41"/>
      <w:bookmarkEnd w:id="42"/>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277"/>
        <w:gridCol w:w="1134"/>
        <w:gridCol w:w="1417"/>
        <w:gridCol w:w="993"/>
        <w:gridCol w:w="1134"/>
        <w:gridCol w:w="992"/>
        <w:gridCol w:w="2551"/>
      </w:tblGrid>
      <w:tr w:rsidR="00291D59" w:rsidRPr="00D13B3A" w:rsidTr="001F5E34">
        <w:tc>
          <w:tcPr>
            <w:tcW w:w="1277" w:type="dxa"/>
            <w:shd w:val="clear" w:color="auto" w:fill="FFFFFF" w:themeFill="background1"/>
          </w:tcPr>
          <w:p w:rsidR="00291D59" w:rsidRPr="00D13B3A" w:rsidRDefault="00291D59" w:rsidP="001F5E34">
            <w:pPr>
              <w:spacing w:before="40" w:after="40"/>
              <w:jc w:val="center"/>
              <w:rPr>
                <w:rFonts w:ascii="Calibri" w:eastAsia="Calibri" w:hAnsi="Calibri"/>
                <w:b/>
                <w:sz w:val="18"/>
                <w:szCs w:val="18"/>
                <w:lang w:val="en-US"/>
              </w:rPr>
            </w:pPr>
            <w:r w:rsidRPr="00D13B3A">
              <w:rPr>
                <w:rFonts w:ascii="Calibri" w:eastAsia="Calibri" w:hAnsi="Calibri"/>
                <w:b/>
                <w:sz w:val="18"/>
                <w:szCs w:val="18"/>
                <w:lang w:val="en-US"/>
              </w:rPr>
              <w:t>Project</w:t>
            </w:r>
          </w:p>
        </w:tc>
        <w:tc>
          <w:tcPr>
            <w:tcW w:w="1134" w:type="dxa"/>
            <w:shd w:val="clear" w:color="auto" w:fill="FFFFFF" w:themeFill="background1"/>
          </w:tcPr>
          <w:p w:rsidR="00291D59" w:rsidRPr="00D13B3A" w:rsidRDefault="00291D59" w:rsidP="001F5E34">
            <w:pPr>
              <w:spacing w:before="40" w:after="40"/>
              <w:jc w:val="center"/>
              <w:rPr>
                <w:rFonts w:ascii="Calibri" w:eastAsia="Calibri" w:hAnsi="Calibri"/>
                <w:b/>
                <w:sz w:val="18"/>
                <w:szCs w:val="18"/>
                <w:lang w:val="en-US"/>
              </w:rPr>
            </w:pPr>
            <w:r w:rsidRPr="00D13B3A">
              <w:rPr>
                <w:rFonts w:ascii="Calibri" w:eastAsia="Calibri" w:hAnsi="Calibri"/>
                <w:b/>
                <w:sz w:val="18"/>
                <w:szCs w:val="18"/>
                <w:lang w:val="en-US"/>
              </w:rPr>
              <w:t>Institution</w:t>
            </w:r>
          </w:p>
        </w:tc>
        <w:tc>
          <w:tcPr>
            <w:tcW w:w="1417" w:type="dxa"/>
            <w:shd w:val="clear" w:color="auto" w:fill="FFFFFF" w:themeFill="background1"/>
          </w:tcPr>
          <w:p w:rsidR="00291D59" w:rsidRPr="00D13B3A" w:rsidRDefault="00291D59" w:rsidP="001F5E34">
            <w:pPr>
              <w:spacing w:before="40" w:after="40"/>
              <w:jc w:val="center"/>
              <w:rPr>
                <w:rFonts w:ascii="Calibri" w:eastAsia="Calibri" w:hAnsi="Calibri"/>
                <w:b/>
                <w:sz w:val="18"/>
                <w:szCs w:val="18"/>
                <w:lang w:val="en-US"/>
              </w:rPr>
            </w:pPr>
            <w:r w:rsidRPr="00D13B3A">
              <w:rPr>
                <w:rFonts w:ascii="Calibri" w:eastAsia="Calibri" w:hAnsi="Calibri"/>
                <w:b/>
                <w:sz w:val="18"/>
                <w:szCs w:val="18"/>
                <w:lang w:val="en-US"/>
              </w:rPr>
              <w:t>Data sources</w:t>
            </w:r>
          </w:p>
        </w:tc>
        <w:tc>
          <w:tcPr>
            <w:tcW w:w="993" w:type="dxa"/>
            <w:shd w:val="clear" w:color="auto" w:fill="FFFFFF" w:themeFill="background1"/>
          </w:tcPr>
          <w:p w:rsidR="00291D59" w:rsidRPr="00D13B3A" w:rsidRDefault="00291D59" w:rsidP="001F5E34">
            <w:pPr>
              <w:spacing w:before="40" w:after="40"/>
              <w:jc w:val="center"/>
              <w:rPr>
                <w:rFonts w:ascii="Calibri" w:eastAsia="Calibri" w:hAnsi="Calibri"/>
                <w:b/>
                <w:sz w:val="18"/>
                <w:szCs w:val="18"/>
                <w:lang w:val="en-US"/>
              </w:rPr>
            </w:pPr>
            <w:r w:rsidRPr="00D13B3A">
              <w:rPr>
                <w:rFonts w:ascii="Calibri" w:eastAsia="Calibri" w:hAnsi="Calibri"/>
                <w:b/>
                <w:sz w:val="18"/>
                <w:szCs w:val="18"/>
                <w:lang w:val="en-US"/>
              </w:rPr>
              <w:t>Countries</w:t>
            </w:r>
          </w:p>
        </w:tc>
        <w:tc>
          <w:tcPr>
            <w:tcW w:w="1134" w:type="dxa"/>
            <w:shd w:val="clear" w:color="auto" w:fill="FFFFFF" w:themeFill="background1"/>
          </w:tcPr>
          <w:p w:rsidR="00291D59" w:rsidRPr="00D13B3A" w:rsidRDefault="00291D59" w:rsidP="001F5E34">
            <w:pPr>
              <w:spacing w:before="40" w:after="40"/>
              <w:jc w:val="center"/>
              <w:rPr>
                <w:rFonts w:ascii="Calibri" w:eastAsia="Calibri" w:hAnsi="Calibri"/>
                <w:b/>
                <w:sz w:val="18"/>
                <w:szCs w:val="18"/>
                <w:lang w:val="en-US"/>
              </w:rPr>
            </w:pPr>
            <w:r w:rsidRPr="00D13B3A">
              <w:rPr>
                <w:rFonts w:ascii="Calibri" w:eastAsia="Calibri" w:hAnsi="Calibri"/>
                <w:b/>
                <w:sz w:val="18"/>
                <w:szCs w:val="18"/>
                <w:lang w:val="en-US"/>
              </w:rPr>
              <w:t>Industries</w:t>
            </w:r>
          </w:p>
        </w:tc>
        <w:tc>
          <w:tcPr>
            <w:tcW w:w="992" w:type="dxa"/>
            <w:shd w:val="clear" w:color="auto" w:fill="FFFFFF" w:themeFill="background1"/>
          </w:tcPr>
          <w:p w:rsidR="00291D59" w:rsidRPr="00D13B3A" w:rsidRDefault="00291D59" w:rsidP="001F5E34">
            <w:pPr>
              <w:spacing w:before="40" w:after="40"/>
              <w:jc w:val="center"/>
              <w:rPr>
                <w:rFonts w:ascii="Calibri" w:eastAsia="Calibri" w:hAnsi="Calibri"/>
                <w:b/>
                <w:sz w:val="18"/>
                <w:szCs w:val="18"/>
                <w:lang w:val="en-US"/>
              </w:rPr>
            </w:pPr>
            <w:r w:rsidRPr="00D13B3A">
              <w:rPr>
                <w:rFonts w:ascii="Calibri" w:eastAsia="Calibri" w:hAnsi="Calibri"/>
                <w:b/>
                <w:sz w:val="18"/>
                <w:szCs w:val="18"/>
                <w:lang w:val="en-US"/>
              </w:rPr>
              <w:t>Years</w:t>
            </w:r>
          </w:p>
        </w:tc>
        <w:tc>
          <w:tcPr>
            <w:tcW w:w="2551" w:type="dxa"/>
            <w:shd w:val="clear" w:color="auto" w:fill="FFFFFF" w:themeFill="background1"/>
          </w:tcPr>
          <w:p w:rsidR="00291D59" w:rsidRPr="00D13B3A" w:rsidRDefault="00291D59" w:rsidP="001F5E34">
            <w:pPr>
              <w:spacing w:before="40" w:after="40"/>
              <w:jc w:val="center"/>
              <w:rPr>
                <w:rFonts w:ascii="Calibri" w:eastAsia="Calibri" w:hAnsi="Calibri"/>
                <w:b/>
                <w:sz w:val="18"/>
                <w:szCs w:val="18"/>
                <w:lang w:val="en-US"/>
              </w:rPr>
            </w:pPr>
            <w:r w:rsidRPr="00D13B3A">
              <w:rPr>
                <w:rFonts w:ascii="Calibri" w:eastAsia="Calibri" w:hAnsi="Calibri"/>
                <w:b/>
                <w:sz w:val="18"/>
                <w:szCs w:val="18"/>
                <w:lang w:val="en-US"/>
              </w:rPr>
              <w:t>Comments</w:t>
            </w:r>
          </w:p>
        </w:tc>
      </w:tr>
      <w:tr w:rsidR="00291D59" w:rsidRPr="00D13B3A" w:rsidTr="001F5E34">
        <w:tc>
          <w:tcPr>
            <w:tcW w:w="127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MIWI</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OECD-WTO</w:t>
            </w:r>
          </w:p>
        </w:tc>
        <w:tc>
          <w:tcPr>
            <w:tcW w:w="141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National IO tables</w:t>
            </w:r>
          </w:p>
        </w:tc>
        <w:tc>
          <w:tcPr>
            <w:tcW w:w="993"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56</w:t>
            </w:r>
            <w:r w:rsidR="000445BE">
              <w:rPr>
                <w:rStyle w:val="Refdenotaderodap"/>
                <w:rFonts w:ascii="Calibri" w:eastAsia="Calibri" w:hAnsi="Calibri"/>
                <w:sz w:val="18"/>
                <w:szCs w:val="18"/>
                <w:lang w:val="en-US"/>
              </w:rPr>
              <w:footnoteReference w:id="29"/>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18</w:t>
            </w:r>
            <w:r w:rsidR="0030327A">
              <w:rPr>
                <w:rStyle w:val="Refdenotaderodap"/>
                <w:rFonts w:ascii="Calibri" w:eastAsia="Calibri" w:hAnsi="Calibri"/>
                <w:sz w:val="18"/>
                <w:szCs w:val="18"/>
                <w:lang w:val="en-US"/>
              </w:rPr>
              <w:footnoteReference w:id="30"/>
            </w:r>
          </w:p>
        </w:tc>
        <w:tc>
          <w:tcPr>
            <w:tcW w:w="992"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1995, 2000, 2005, 2008, and 2009</w:t>
            </w:r>
          </w:p>
        </w:tc>
        <w:tc>
          <w:tcPr>
            <w:tcW w:w="2551"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Based on national IO tables, harmonized by the OECD</w:t>
            </w:r>
            <w:r w:rsidR="00592A7F">
              <w:rPr>
                <w:rFonts w:ascii="Calibri" w:eastAsia="Calibri" w:hAnsi="Calibri"/>
                <w:sz w:val="18"/>
                <w:szCs w:val="18"/>
                <w:lang w:val="en-US"/>
              </w:rPr>
              <w:t>.</w:t>
            </w:r>
          </w:p>
        </w:tc>
      </w:tr>
      <w:tr w:rsidR="00291D59" w:rsidRPr="00D13B3A" w:rsidTr="001F5E34">
        <w:tc>
          <w:tcPr>
            <w:tcW w:w="127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WIOD</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Consortium of 11 institutions led by Groningen University, EU funded</w:t>
            </w:r>
          </w:p>
        </w:tc>
        <w:tc>
          <w:tcPr>
            <w:tcW w:w="141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National Supply-Use tables</w:t>
            </w:r>
          </w:p>
        </w:tc>
        <w:tc>
          <w:tcPr>
            <w:tcW w:w="993"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40</w:t>
            </w:r>
            <w:r w:rsidR="0030327A">
              <w:rPr>
                <w:rStyle w:val="Refdenotaderodap"/>
                <w:rFonts w:ascii="Calibri" w:eastAsia="Calibri" w:hAnsi="Calibri"/>
                <w:sz w:val="18"/>
                <w:szCs w:val="18"/>
                <w:lang w:val="en-US"/>
              </w:rPr>
              <w:footnoteReference w:id="31"/>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35</w:t>
            </w:r>
            <w:r w:rsidR="0030327A">
              <w:rPr>
                <w:rStyle w:val="Refdenotaderodap"/>
                <w:rFonts w:ascii="Calibri" w:eastAsia="Calibri" w:hAnsi="Calibri"/>
                <w:sz w:val="18"/>
                <w:szCs w:val="18"/>
                <w:lang w:val="en-US"/>
              </w:rPr>
              <w:footnoteReference w:id="32"/>
            </w:r>
          </w:p>
        </w:tc>
        <w:tc>
          <w:tcPr>
            <w:tcW w:w="992" w:type="dxa"/>
            <w:shd w:val="clear" w:color="auto" w:fill="FFFFFF" w:themeFill="background1"/>
            <w:vAlign w:val="center"/>
          </w:tcPr>
          <w:p w:rsidR="00291D59" w:rsidRPr="00D13B3A" w:rsidRDefault="00291D59" w:rsidP="0030327A">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1995 to 20</w:t>
            </w:r>
            <w:r w:rsidR="0030327A">
              <w:rPr>
                <w:rFonts w:ascii="Calibri" w:eastAsia="Calibri" w:hAnsi="Calibri"/>
                <w:sz w:val="18"/>
                <w:szCs w:val="18"/>
                <w:lang w:val="en-US"/>
              </w:rPr>
              <w:t>11</w:t>
            </w:r>
          </w:p>
        </w:tc>
        <w:tc>
          <w:tcPr>
            <w:tcW w:w="2551"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Based on official national accounts statistics, it uses end-use classification to allocate flows across partner countries. It also includes data on socioeconomic and environmental issues</w:t>
            </w:r>
            <w:r w:rsidR="00592A7F">
              <w:rPr>
                <w:rFonts w:ascii="Calibri" w:eastAsia="Calibri" w:hAnsi="Calibri"/>
                <w:sz w:val="18"/>
                <w:szCs w:val="18"/>
                <w:lang w:val="en-US"/>
              </w:rPr>
              <w:t>.</w:t>
            </w:r>
          </w:p>
        </w:tc>
      </w:tr>
      <w:tr w:rsidR="00291D59" w:rsidRPr="00D13B3A" w:rsidTr="001F5E34">
        <w:tc>
          <w:tcPr>
            <w:tcW w:w="127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UNCTAD-EORA-GVC database</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UNCTAD-EORA</w:t>
            </w:r>
          </w:p>
        </w:tc>
        <w:tc>
          <w:tcPr>
            <w:tcW w:w="141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National supply-use and IO tables, and IO tables from Eurostat, IDE-JETRO and OECD</w:t>
            </w:r>
          </w:p>
        </w:tc>
        <w:tc>
          <w:tcPr>
            <w:tcW w:w="993"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187</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25-500, depending on the country</w:t>
            </w:r>
          </w:p>
        </w:tc>
        <w:tc>
          <w:tcPr>
            <w:tcW w:w="992"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1990 to 2011</w:t>
            </w:r>
          </w:p>
        </w:tc>
        <w:tc>
          <w:tcPr>
            <w:tcW w:w="2551"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eastAsia="en-US"/>
              </w:rPr>
            </w:pPr>
            <w:r w:rsidRPr="00D13B3A">
              <w:rPr>
                <w:rFonts w:ascii="Calibri" w:eastAsia="Calibri" w:hAnsi="Calibri"/>
                <w:sz w:val="18"/>
                <w:szCs w:val="18"/>
                <w:lang w:val="en-US"/>
              </w:rPr>
              <w:t>Meta database consolidating several different sources and interpolating missing points to provide broad, consistent coverage, even of data-poor countries. It includes (</w:t>
            </w:r>
            <w:proofErr w:type="spellStart"/>
            <w:r w:rsidRPr="00D13B3A">
              <w:rPr>
                <w:rFonts w:ascii="Calibri" w:eastAsia="Calibri" w:hAnsi="Calibri"/>
                <w:sz w:val="18"/>
                <w:szCs w:val="18"/>
                <w:lang w:val="en-US"/>
              </w:rPr>
              <w:t>i</w:t>
            </w:r>
            <w:proofErr w:type="spellEnd"/>
            <w:r w:rsidRPr="00D13B3A">
              <w:rPr>
                <w:rFonts w:ascii="Calibri" w:eastAsia="Calibri" w:hAnsi="Calibri"/>
                <w:sz w:val="18"/>
                <w:szCs w:val="18"/>
                <w:lang w:val="en-US"/>
              </w:rPr>
              <w:t xml:space="preserve">) data on environmental indicators; and (ii) </w:t>
            </w:r>
            <w:r w:rsidRPr="00D13B3A">
              <w:rPr>
                <w:rFonts w:ascii="Calibri" w:eastAsia="Calibri" w:hAnsi="Calibri"/>
                <w:sz w:val="18"/>
                <w:szCs w:val="18"/>
                <w:lang w:val="en-US" w:eastAsia="en-US"/>
              </w:rPr>
              <w:t xml:space="preserve">estimates of standard </w:t>
            </w:r>
            <w:r w:rsidRPr="00D13B3A">
              <w:rPr>
                <w:rFonts w:ascii="Calibri" w:eastAsia="Calibri" w:hAnsi="Calibri"/>
                <w:sz w:val="18"/>
                <w:szCs w:val="18"/>
                <w:lang w:val="en-US" w:eastAsia="en-US"/>
              </w:rPr>
              <w:lastRenderedPageBreak/>
              <w:t>deviation for all results</w:t>
            </w:r>
            <w:r w:rsidRPr="00D13B3A">
              <w:rPr>
                <w:rStyle w:val="Refdenotaderodap"/>
                <w:rFonts w:ascii="Calibri" w:eastAsia="Calibri" w:hAnsi="Calibri"/>
                <w:sz w:val="18"/>
                <w:szCs w:val="18"/>
                <w:lang w:val="en-US" w:eastAsia="en-US"/>
              </w:rPr>
              <w:footnoteReference w:id="33"/>
            </w:r>
            <w:r w:rsidRPr="00D13B3A">
              <w:rPr>
                <w:rFonts w:ascii="Calibri" w:eastAsia="Calibri" w:hAnsi="Calibri"/>
                <w:sz w:val="18"/>
                <w:szCs w:val="18"/>
                <w:lang w:val="en-US" w:eastAsia="en-US"/>
              </w:rPr>
              <w:t xml:space="preserve">. </w:t>
            </w:r>
            <w:r w:rsidRPr="00D13B3A">
              <w:rPr>
                <w:rFonts w:ascii="Calibri" w:eastAsia="Calibri" w:hAnsi="Calibri"/>
                <w:sz w:val="18"/>
                <w:szCs w:val="18"/>
                <w:lang w:val="en-US"/>
              </w:rPr>
              <w:t xml:space="preserve">It differentiates </w:t>
            </w:r>
            <w:r w:rsidRPr="00D13B3A">
              <w:rPr>
                <w:rFonts w:ascii="Calibri" w:eastAsia="Calibri" w:hAnsi="Calibri"/>
                <w:sz w:val="18"/>
                <w:szCs w:val="18"/>
                <w:lang w:val="en-US" w:eastAsia="en-US"/>
              </w:rPr>
              <w:t>between basic prices and purchasers' prices.</w:t>
            </w:r>
          </w:p>
        </w:tc>
      </w:tr>
      <w:tr w:rsidR="00291D59" w:rsidRPr="00D13B3A" w:rsidTr="001F5E34">
        <w:tc>
          <w:tcPr>
            <w:tcW w:w="127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lastRenderedPageBreak/>
              <w:t>Asian International IO tables</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IDE-JETRO</w:t>
            </w:r>
          </w:p>
        </w:tc>
        <w:tc>
          <w:tcPr>
            <w:tcW w:w="141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National accounts and firm surveys</w:t>
            </w:r>
          </w:p>
        </w:tc>
        <w:tc>
          <w:tcPr>
            <w:tcW w:w="993"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10</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76</w:t>
            </w:r>
          </w:p>
        </w:tc>
        <w:tc>
          <w:tcPr>
            <w:tcW w:w="992"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1975, 1980, 1985, 1990, 1995, 2000, 2005</w:t>
            </w:r>
          </w:p>
        </w:tc>
        <w:tc>
          <w:tcPr>
            <w:tcW w:w="2551"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US and Asia tables plus bilateral tables, including PRC-Japan</w:t>
            </w:r>
            <w:r w:rsidR="00592A7F">
              <w:rPr>
                <w:rFonts w:ascii="Calibri" w:eastAsia="Calibri" w:hAnsi="Calibri"/>
                <w:sz w:val="18"/>
                <w:szCs w:val="18"/>
                <w:lang w:val="en-US"/>
              </w:rPr>
              <w:t>.</w:t>
            </w:r>
          </w:p>
        </w:tc>
      </w:tr>
      <w:tr w:rsidR="00291D59" w:rsidRPr="00D13B3A" w:rsidTr="001F5E34">
        <w:tc>
          <w:tcPr>
            <w:tcW w:w="127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GTAP</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Purdue University</w:t>
            </w:r>
          </w:p>
        </w:tc>
        <w:tc>
          <w:tcPr>
            <w:tcW w:w="1417"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Contributions from individual researchers and organizations</w:t>
            </w:r>
          </w:p>
        </w:tc>
        <w:tc>
          <w:tcPr>
            <w:tcW w:w="993" w:type="dxa"/>
            <w:shd w:val="clear" w:color="auto" w:fill="FFFFFF" w:themeFill="background1"/>
            <w:vAlign w:val="center"/>
          </w:tcPr>
          <w:p w:rsidR="00291D59" w:rsidRPr="00D13B3A" w:rsidRDefault="0068007C"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190</w:t>
            </w:r>
          </w:p>
        </w:tc>
        <w:tc>
          <w:tcPr>
            <w:tcW w:w="1134"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57</w:t>
            </w:r>
          </w:p>
        </w:tc>
        <w:tc>
          <w:tcPr>
            <w:tcW w:w="992"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2004, 2007</w:t>
            </w:r>
          </w:p>
        </w:tc>
        <w:tc>
          <w:tcPr>
            <w:tcW w:w="2551" w:type="dxa"/>
            <w:shd w:val="clear" w:color="auto" w:fill="FFFFFF" w:themeFill="background1"/>
            <w:vAlign w:val="center"/>
          </w:tcPr>
          <w:p w:rsidR="00291D59" w:rsidRPr="00D13B3A" w:rsidRDefault="00291D59" w:rsidP="001F5E34">
            <w:pPr>
              <w:spacing w:before="40" w:after="40"/>
              <w:jc w:val="center"/>
              <w:rPr>
                <w:rFonts w:ascii="Calibri" w:eastAsia="Calibri" w:hAnsi="Calibri"/>
                <w:sz w:val="18"/>
                <w:szCs w:val="18"/>
                <w:lang w:val="en-US"/>
              </w:rPr>
            </w:pPr>
            <w:r w:rsidRPr="00D13B3A">
              <w:rPr>
                <w:rFonts w:ascii="Calibri" w:eastAsia="Calibri" w:hAnsi="Calibri"/>
                <w:sz w:val="18"/>
                <w:szCs w:val="18"/>
                <w:lang w:val="en-US"/>
              </w:rPr>
              <w:t>Unofficial dataset; includes data on areas such as energy volumes, land use, carbon dioxide emissions and international migration</w:t>
            </w:r>
            <w:r w:rsidR="00592A7F">
              <w:rPr>
                <w:rFonts w:ascii="Calibri" w:eastAsia="Calibri" w:hAnsi="Calibri"/>
                <w:sz w:val="18"/>
                <w:szCs w:val="18"/>
                <w:lang w:val="en-US"/>
              </w:rPr>
              <w:t>.</w:t>
            </w:r>
          </w:p>
        </w:tc>
      </w:tr>
    </w:tbl>
    <w:p w:rsidR="00291D59" w:rsidRPr="00D13B3A" w:rsidRDefault="00291D59" w:rsidP="001F5E34">
      <w:pPr>
        <w:pStyle w:val="Default"/>
        <w:spacing w:before="120" w:after="240"/>
        <w:jc w:val="center"/>
        <w:rPr>
          <w:rFonts w:ascii="Times New Roman" w:hAnsi="Times New Roman" w:cs="Times New Roman"/>
          <w:sz w:val="16"/>
          <w:szCs w:val="16"/>
          <w:lang w:val="en-US"/>
        </w:rPr>
      </w:pPr>
      <w:r w:rsidRPr="00D13B3A">
        <w:rPr>
          <w:rFonts w:ascii="Times New Roman" w:hAnsi="Times New Roman" w:cs="Times New Roman"/>
          <w:sz w:val="16"/>
          <w:szCs w:val="16"/>
          <w:lang w:val="en-US"/>
        </w:rPr>
        <w:t>Source: UNCTAD (2013b), p. 124.</w:t>
      </w:r>
    </w:p>
    <w:p w:rsidR="00CC57BA" w:rsidRPr="00D13B3A" w:rsidRDefault="00CC57BA" w:rsidP="00AC074F">
      <w:pPr>
        <w:pStyle w:val="Corpodetexto"/>
        <w:spacing w:line="480" w:lineRule="auto"/>
        <w:ind w:firstLine="709"/>
        <w:rPr>
          <w:lang w:val="en-US"/>
        </w:rPr>
      </w:pPr>
    </w:p>
    <w:p w:rsidR="00AE06D2" w:rsidRPr="00D13B3A" w:rsidRDefault="000445BE" w:rsidP="00AE06D2">
      <w:pPr>
        <w:pStyle w:val="Corpodetexto"/>
        <w:spacing w:line="480" w:lineRule="auto"/>
        <w:ind w:firstLine="709"/>
        <w:rPr>
          <w:lang w:val="en-US"/>
        </w:rPr>
      </w:pPr>
      <w:r>
        <w:rPr>
          <w:lang w:val="en-US"/>
        </w:rPr>
        <w:t xml:space="preserve">While </w:t>
      </w:r>
      <w:r w:rsidRPr="00D13B3A">
        <w:rPr>
          <w:lang w:val="en-US"/>
        </w:rPr>
        <w:t xml:space="preserve">the MIWI, with a more narrow coverage in time and sectors, aimed at supporting the exchange of projects and experiences in measuring and assessing </w:t>
      </w:r>
      <w:proofErr w:type="spellStart"/>
      <w:r w:rsidRPr="00D13B3A">
        <w:rPr>
          <w:lang w:val="en-US"/>
        </w:rPr>
        <w:t>TiVA</w:t>
      </w:r>
      <w:proofErr w:type="spellEnd"/>
      <w:r w:rsidRPr="00D13B3A">
        <w:rPr>
          <w:rStyle w:val="Refdenotaderodap"/>
          <w:lang w:val="en-US"/>
        </w:rPr>
        <w:footnoteReference w:id="34"/>
      </w:r>
      <w:r w:rsidR="00AE06D2" w:rsidRPr="00D13B3A">
        <w:rPr>
          <w:lang w:val="en-US"/>
        </w:rPr>
        <w:t>, the WIOD offered new and unique opportunities to study the effects of the international fragmentation of production on a wide range of socioeconomic and environmental issues. In fact, this database</w:t>
      </w:r>
      <w:r w:rsidR="00AE06D2" w:rsidRPr="00D13B3A">
        <w:rPr>
          <w:rStyle w:val="Refdenotaderodap"/>
          <w:lang w:val="en-US"/>
        </w:rPr>
        <w:footnoteReference w:id="35"/>
      </w:r>
      <w:r w:rsidR="00AE06D2" w:rsidRPr="00D13B3A">
        <w:rPr>
          <w:lang w:val="en-US"/>
        </w:rPr>
        <w:t xml:space="preserve">, which was based on a set of harmonized supply-and-use tables linked with data on international trade in goods and services, was complemented with environmental and socio-economic indicators, such as industry-level data of capital stock, investment, wages and employment (by skill-type). </w:t>
      </w:r>
    </w:p>
    <w:p w:rsidR="001F5E34" w:rsidRPr="00D13B3A" w:rsidRDefault="00781CE6" w:rsidP="001F5E34">
      <w:pPr>
        <w:pStyle w:val="Corpodetexto"/>
        <w:spacing w:line="480" w:lineRule="auto"/>
        <w:ind w:firstLine="709"/>
        <w:rPr>
          <w:lang w:val="en-US"/>
        </w:rPr>
      </w:pPr>
      <w:r>
        <w:rPr>
          <w:lang w:val="en-US"/>
        </w:rPr>
        <w:t>O</w:t>
      </w:r>
      <w:r w:rsidR="001F5E34" w:rsidRPr="00D13B3A">
        <w:rPr>
          <w:lang w:val="en-US"/>
        </w:rPr>
        <w:t xml:space="preserve">ne should bear in mind that internationally-linked IO matrices are an estimate, based on a number of assumptions, rather than a measurement, as mentioned by </w:t>
      </w:r>
      <w:proofErr w:type="spellStart"/>
      <w:r w:rsidR="001F5E34" w:rsidRPr="00D13B3A">
        <w:rPr>
          <w:lang w:val="en-US"/>
        </w:rPr>
        <w:t>Escaith</w:t>
      </w:r>
      <w:proofErr w:type="spellEnd"/>
      <w:r w:rsidR="001F5E34" w:rsidRPr="00D13B3A">
        <w:rPr>
          <w:lang w:val="en-US"/>
        </w:rPr>
        <w:t xml:space="preserve"> </w:t>
      </w:r>
      <w:r w:rsidR="001F5E34" w:rsidRPr="00D13B3A">
        <w:rPr>
          <w:lang w:val="en-US"/>
        </w:rPr>
        <w:lastRenderedPageBreak/>
        <w:t xml:space="preserve">&amp; Timmer (2012). First, any large discrepancy between values recorded in IO national accounts and in international trade statistics or between importer and exporter's reporting needs to be reconciled. Second, IO domestic tables are not estimated on an annual basis. They are compiled every five years, at best, due to the significant compilation effort that they involve. Consequently, annual data presented in annual IO </w:t>
      </w:r>
      <w:r w:rsidR="007F3E09">
        <w:rPr>
          <w:lang w:val="en-US"/>
        </w:rPr>
        <w:t>are</w:t>
      </w:r>
      <w:r w:rsidR="001F5E34" w:rsidRPr="00D13B3A">
        <w:rPr>
          <w:lang w:val="en-US"/>
        </w:rPr>
        <w:t xml:space="preserve"> a mere interpolation estimated by the authors. Third, firm surveys are needed to split the IO tables between export-oriented and domestic-oriented firms</w:t>
      </w:r>
      <w:r w:rsidR="001F5E34" w:rsidRPr="00D13B3A">
        <w:rPr>
          <w:rStyle w:val="Refdenotaderodap"/>
          <w:lang w:val="en-US"/>
        </w:rPr>
        <w:footnoteReference w:id="36"/>
      </w:r>
      <w:r w:rsidR="00BE0D9B">
        <w:rPr>
          <w:lang w:val="en-US"/>
        </w:rPr>
        <w:t>.</w:t>
      </w:r>
    </w:p>
    <w:p w:rsidR="00AE06D2" w:rsidRPr="00D13B3A" w:rsidRDefault="001F5E34" w:rsidP="0068007C">
      <w:pPr>
        <w:pStyle w:val="Corpodetexto"/>
        <w:spacing w:line="480" w:lineRule="auto"/>
        <w:ind w:firstLine="709"/>
        <w:rPr>
          <w:lang w:val="en-US"/>
        </w:rPr>
      </w:pPr>
      <w:r w:rsidRPr="00D13B3A">
        <w:rPr>
          <w:lang w:val="en-US"/>
        </w:rPr>
        <w:t>Having said that, t</w:t>
      </w:r>
      <w:r w:rsidR="00AE06D2" w:rsidRPr="00D13B3A">
        <w:rPr>
          <w:lang w:val="en-US"/>
        </w:rPr>
        <w:t xml:space="preserve">he main empirical studies making use of internationally-linked IO databases could be divided into four groups according to their object of study: </w:t>
      </w:r>
      <w:r w:rsidR="00D63AE6">
        <w:rPr>
          <w:lang w:val="en-US"/>
        </w:rPr>
        <w:br/>
      </w:r>
      <w:r w:rsidR="00AE06D2" w:rsidRPr="00D13B3A">
        <w:rPr>
          <w:lang w:val="en-US"/>
        </w:rPr>
        <w:t>(</w:t>
      </w:r>
      <w:proofErr w:type="spellStart"/>
      <w:r w:rsidR="00AE06D2" w:rsidRPr="00D13B3A">
        <w:rPr>
          <w:lang w:val="en-US"/>
        </w:rPr>
        <w:t>i</w:t>
      </w:r>
      <w:proofErr w:type="spellEnd"/>
      <w:r w:rsidR="00AE06D2" w:rsidRPr="00D13B3A">
        <w:rPr>
          <w:lang w:val="en-US"/>
        </w:rPr>
        <w:t>) making use of international trade and national accounts to assess the foreign content of the domestic production, particularly used in the analysis of the impact of the international fragmentation of production in labor markets</w:t>
      </w:r>
      <w:r w:rsidR="00AE06D2" w:rsidRPr="00D13B3A">
        <w:rPr>
          <w:rStyle w:val="Refdenotaderodap"/>
          <w:lang w:val="en-US"/>
        </w:rPr>
        <w:footnoteReference w:id="37"/>
      </w:r>
      <w:r w:rsidR="00AE06D2" w:rsidRPr="00D13B3A">
        <w:rPr>
          <w:lang w:val="en-US"/>
        </w:rPr>
        <w:t>; (ii) making use of international trade and national accounts to assess the foreign content of the domestic exports</w:t>
      </w:r>
      <w:r w:rsidR="00AE06D2" w:rsidRPr="00D13B3A">
        <w:rPr>
          <w:rStyle w:val="Refdenotaderodap"/>
          <w:lang w:val="en-US"/>
        </w:rPr>
        <w:footnoteReference w:id="38"/>
      </w:r>
      <w:r w:rsidR="00AE06D2" w:rsidRPr="00D13B3A">
        <w:rPr>
          <w:lang w:val="en-US"/>
        </w:rPr>
        <w:t>; (iii) linking ad hoc bilateral trade databases and IO matrices</w:t>
      </w:r>
      <w:r w:rsidR="00AE06D2" w:rsidRPr="00D13B3A">
        <w:rPr>
          <w:rStyle w:val="Refdenotaderodap"/>
          <w:lang w:val="en-US"/>
        </w:rPr>
        <w:footnoteReference w:id="39"/>
      </w:r>
      <w:r w:rsidR="00AE06D2" w:rsidRPr="00D13B3A">
        <w:rPr>
          <w:lang w:val="en-US"/>
        </w:rPr>
        <w:t xml:space="preserve">; and </w:t>
      </w:r>
      <w:r w:rsidR="00D63AE6">
        <w:rPr>
          <w:lang w:val="en-US"/>
        </w:rPr>
        <w:br/>
      </w:r>
      <w:r w:rsidR="00AE06D2" w:rsidRPr="00D13B3A">
        <w:rPr>
          <w:lang w:val="en-US"/>
        </w:rPr>
        <w:t>(iv) making use of the WIOD or of the MIWI databases</w:t>
      </w:r>
      <w:r w:rsidR="00AE06D2" w:rsidRPr="00D13B3A">
        <w:rPr>
          <w:rStyle w:val="Refdenotaderodap"/>
          <w:lang w:val="en-US"/>
        </w:rPr>
        <w:footnoteReference w:id="40"/>
      </w:r>
      <w:r w:rsidR="00AE06D2" w:rsidRPr="00D13B3A">
        <w:rPr>
          <w:lang w:val="en-US"/>
        </w:rPr>
        <w:t>.</w:t>
      </w:r>
    </w:p>
    <w:p w:rsidR="001F5E34" w:rsidRPr="00D13B3A" w:rsidRDefault="0068007C" w:rsidP="0068007C">
      <w:pPr>
        <w:pStyle w:val="Corpodetexto"/>
        <w:spacing w:line="480" w:lineRule="auto"/>
        <w:ind w:firstLine="709"/>
        <w:rPr>
          <w:lang w:val="en-US"/>
        </w:rPr>
      </w:pPr>
      <w:r w:rsidRPr="00D13B3A">
        <w:rPr>
          <w:lang w:val="en-US"/>
        </w:rPr>
        <w:lastRenderedPageBreak/>
        <w:t>Some interesting empirical findings related to GVCs were found so far</w:t>
      </w:r>
      <w:r w:rsidR="001F5E34" w:rsidRPr="00D13B3A">
        <w:rPr>
          <w:lang w:val="en-US"/>
        </w:rPr>
        <w:t xml:space="preserve"> by assessing internationally</w:t>
      </w:r>
      <w:r w:rsidR="00D63AE6">
        <w:rPr>
          <w:lang w:val="en-US"/>
        </w:rPr>
        <w:t xml:space="preserve"> linked IO databases</w:t>
      </w:r>
      <w:r w:rsidR="001F5E34" w:rsidRPr="00D13B3A">
        <w:rPr>
          <w:lang w:val="en-US"/>
        </w:rPr>
        <w:t>. We will present next a few, as a pro</w:t>
      </w:r>
      <w:r w:rsidR="00D7147A">
        <w:rPr>
          <w:lang w:val="en-US"/>
        </w:rPr>
        <w:t>of</w:t>
      </w:r>
      <w:r w:rsidR="001F5E34" w:rsidRPr="00D13B3A">
        <w:rPr>
          <w:lang w:val="en-US"/>
        </w:rPr>
        <w:t xml:space="preserve"> of the empirical wealth that these data provide for research.</w:t>
      </w:r>
    </w:p>
    <w:p w:rsidR="001F5E34" w:rsidRPr="00D13B3A" w:rsidRDefault="001F5E34" w:rsidP="0068007C">
      <w:pPr>
        <w:pStyle w:val="Corpodetexto"/>
        <w:spacing w:line="480" w:lineRule="auto"/>
        <w:ind w:firstLine="709"/>
        <w:rPr>
          <w:lang w:val="en-US"/>
        </w:rPr>
      </w:pPr>
      <w:r w:rsidRPr="00D13B3A">
        <w:rPr>
          <w:lang w:val="en-US"/>
        </w:rPr>
        <w:t>First, value-added trade is relatively more advantageous for developing than for developed countries. UNCTAD (2013</w:t>
      </w:r>
      <w:r w:rsidR="00853CB0">
        <w:rPr>
          <w:lang w:val="en-US"/>
        </w:rPr>
        <w:t>c</w:t>
      </w:r>
      <w:r w:rsidRPr="00D13B3A">
        <w:rPr>
          <w:lang w:val="en-US"/>
        </w:rPr>
        <w:t>) makes use of internationally-linked IO databases to conclude that: (</w:t>
      </w:r>
      <w:proofErr w:type="spellStart"/>
      <w:r w:rsidRPr="00D13B3A">
        <w:rPr>
          <w:lang w:val="en-US"/>
        </w:rPr>
        <w:t>i</w:t>
      </w:r>
      <w:proofErr w:type="spellEnd"/>
      <w:r w:rsidRPr="00D13B3A">
        <w:rPr>
          <w:lang w:val="en-US"/>
        </w:rPr>
        <w:t>) value-added trade contributed on average nearly 28% to the GDP of developing economies, as compared to 18% for developed economies; (ii) the relative share of developing countries in global value-added trade increased from 20% in 1990 to 42% in 2010; (iii) the participation of developing countries in GVCs</w:t>
      </w:r>
      <w:r w:rsidRPr="00D13B3A">
        <w:rPr>
          <w:rStyle w:val="Refdenotaderodap"/>
          <w:lang w:val="en-US"/>
        </w:rPr>
        <w:footnoteReference w:id="41"/>
      </w:r>
      <w:r w:rsidRPr="00D13B3A">
        <w:rPr>
          <w:lang w:val="en-US"/>
        </w:rPr>
        <w:t xml:space="preserve"> was growing at 6.1% per year (9.6% for the least developed countries); and (iv) developing countries with the fastest growing participation in GVCs had GDP per capita growth rates more than two percentage points above the average.</w:t>
      </w:r>
    </w:p>
    <w:p w:rsidR="001F5E34" w:rsidRPr="00D13B3A" w:rsidRDefault="001F5E34" w:rsidP="001F5E34">
      <w:pPr>
        <w:pStyle w:val="Corpodetexto"/>
        <w:spacing w:line="480" w:lineRule="auto"/>
        <w:ind w:firstLine="709"/>
        <w:rPr>
          <w:lang w:val="en-US"/>
        </w:rPr>
      </w:pPr>
      <w:r w:rsidRPr="00D13B3A">
        <w:rPr>
          <w:lang w:val="en-US"/>
        </w:rPr>
        <w:t>Second, GVCs played a double but contradictory role in influencing the transmission mechanism of supply and demand shocks. On one hand, at micro-level, the shock is propagated up and down the GVC. This effect has been designated in the literature as “bullwhip effect”</w:t>
      </w:r>
      <w:r w:rsidRPr="00D13B3A">
        <w:rPr>
          <w:rStyle w:val="Refdenotaderodap"/>
          <w:lang w:val="en-US"/>
        </w:rPr>
        <w:footnoteReference w:id="42"/>
      </w:r>
      <w:r w:rsidRPr="00D13B3A">
        <w:rPr>
          <w:lang w:val="en-US"/>
        </w:rPr>
        <w:t xml:space="preserve">. When there is a sudden drop in demand, firms delay orders and run down inventories, amplifying the fall in demand along the GVC. On the other hand, at macro level, GVCs change the impact of currency fluctuations on trade. When our currency appreciates, our exports become more expensive, but there is also a corresponding decrease in the cost of imported inputs. A better understanding of </w:t>
      </w:r>
      <w:proofErr w:type="spellStart"/>
      <w:r w:rsidRPr="00D13B3A">
        <w:rPr>
          <w:lang w:val="en-US"/>
        </w:rPr>
        <w:t>TiVA</w:t>
      </w:r>
      <w:proofErr w:type="spellEnd"/>
      <w:r w:rsidRPr="00D13B3A">
        <w:rPr>
          <w:lang w:val="en-US"/>
        </w:rPr>
        <w:t xml:space="preserve"> </w:t>
      </w:r>
      <w:r w:rsidRPr="00D13B3A">
        <w:rPr>
          <w:lang w:val="en-US"/>
        </w:rPr>
        <w:lastRenderedPageBreak/>
        <w:t>flows would therefore provide tools for policymakers to anticipate the impact of macro-economic shocks and adopt the right policy responses.</w:t>
      </w:r>
    </w:p>
    <w:p w:rsidR="005E01E3" w:rsidRDefault="007417A1" w:rsidP="001F5E34">
      <w:pPr>
        <w:pStyle w:val="Corpodetexto"/>
        <w:spacing w:line="480" w:lineRule="auto"/>
        <w:ind w:firstLine="709"/>
        <w:rPr>
          <w:lang w:val="en-US"/>
        </w:rPr>
      </w:pPr>
      <w:r>
        <w:rPr>
          <w:lang w:val="en-US"/>
        </w:rPr>
        <w:t>Third</w:t>
      </w:r>
      <w:r w:rsidR="001F5E34" w:rsidRPr="00D13B3A">
        <w:rPr>
          <w:lang w:val="en-US"/>
        </w:rPr>
        <w:t xml:space="preserve">, regarding the role played by services in international trade, statistics in </w:t>
      </w:r>
      <w:proofErr w:type="spellStart"/>
      <w:r w:rsidR="001F5E34" w:rsidRPr="00D13B3A">
        <w:rPr>
          <w:lang w:val="en-US"/>
        </w:rPr>
        <w:t>TiVA</w:t>
      </w:r>
      <w:proofErr w:type="spellEnd"/>
      <w:r w:rsidR="001F5E34" w:rsidRPr="00D13B3A">
        <w:rPr>
          <w:lang w:val="en-US"/>
        </w:rPr>
        <w:t xml:space="preserve"> presented significantly higher relative weight than traditional statistics. UNCTAD (2013</w:t>
      </w:r>
      <w:r w:rsidR="00853CB0">
        <w:rPr>
          <w:lang w:val="en-US"/>
        </w:rPr>
        <w:t>c</w:t>
      </w:r>
      <w:r w:rsidR="001F5E34" w:rsidRPr="00D13B3A">
        <w:rPr>
          <w:lang w:val="en-US"/>
        </w:rPr>
        <w:t>, p. 135) concluded that, while services typically represented around 20% of total gross trade, their share more than doubled to 46% when accounted for value added in exports</w:t>
      </w:r>
      <w:r w:rsidR="001F5E34" w:rsidRPr="00D13B3A">
        <w:rPr>
          <w:rStyle w:val="Refdenotaderodap"/>
          <w:lang w:val="en-US"/>
        </w:rPr>
        <w:footnoteReference w:id="43"/>
      </w:r>
      <w:r w:rsidR="001F5E34" w:rsidRPr="00D13B3A">
        <w:rPr>
          <w:lang w:val="en-US"/>
        </w:rPr>
        <w:t xml:space="preserve">. OECD &amp; WTO (2013) reached a similar conclusion (see </w:t>
      </w:r>
      <w:r w:rsidR="0012233E">
        <w:fldChar w:fldCharType="begin"/>
      </w:r>
      <w:r w:rsidR="0012233E">
        <w:instrText xml:space="preserve"> REF _Ref358635420 \h  \* MERGEFORMAT </w:instrText>
      </w:r>
      <w:r w:rsidR="0012233E">
        <w:fldChar w:fldCharType="separate"/>
      </w:r>
      <w:r w:rsidR="00DE6A26" w:rsidRPr="00DE6A26">
        <w:rPr>
          <w:lang w:val="en-US"/>
        </w:rPr>
        <w:t>Figure 10</w:t>
      </w:r>
      <w:r w:rsidR="0012233E">
        <w:fldChar w:fldCharType="end"/>
      </w:r>
      <w:r w:rsidR="001F5E34" w:rsidRPr="00D13B3A">
        <w:rPr>
          <w:lang w:val="en-US"/>
        </w:rPr>
        <w:t xml:space="preserve"> below).</w:t>
      </w:r>
    </w:p>
    <w:p w:rsidR="005E01E3" w:rsidRDefault="005E01E3" w:rsidP="001F5E34">
      <w:pPr>
        <w:pStyle w:val="Corpodetexto"/>
        <w:spacing w:line="480" w:lineRule="auto"/>
        <w:ind w:firstLine="709"/>
        <w:rPr>
          <w:lang w:val="en-US"/>
        </w:rPr>
      </w:pPr>
    </w:p>
    <w:p w:rsidR="001F5E34" w:rsidRPr="00D13B3A" w:rsidRDefault="001F5E34" w:rsidP="001F5E34">
      <w:pPr>
        <w:pStyle w:val="Corpodetexto"/>
        <w:spacing w:line="480" w:lineRule="auto"/>
        <w:ind w:firstLine="709"/>
        <w:rPr>
          <w:lang w:val="en-US"/>
        </w:rPr>
      </w:pPr>
      <w:r w:rsidRPr="00D13B3A">
        <w:rPr>
          <w:lang w:val="en-US"/>
        </w:rPr>
        <w:t xml:space="preserve"> </w:t>
      </w:r>
    </w:p>
    <w:p w:rsidR="001F5E34" w:rsidRPr="00D13B3A" w:rsidRDefault="001F5E34" w:rsidP="001F5E34">
      <w:pPr>
        <w:pStyle w:val="Figure"/>
      </w:pPr>
      <w:bookmarkStart w:id="43" w:name="_Ref358635420"/>
      <w:bookmarkStart w:id="44" w:name="_Toc438749255"/>
      <w:bookmarkStart w:id="45" w:name="_Toc494032895"/>
      <w:r w:rsidRPr="00D13B3A">
        <w:t xml:space="preserve">Figure </w:t>
      </w:r>
      <w:r w:rsidR="0012233E">
        <w:rPr>
          <w:noProof/>
        </w:rPr>
        <w:fldChar w:fldCharType="begin"/>
      </w:r>
      <w:r w:rsidR="0012233E">
        <w:rPr>
          <w:noProof/>
        </w:rPr>
        <w:instrText xml:space="preserve"> SEQ Figure \* ARABIC </w:instrText>
      </w:r>
      <w:r w:rsidR="0012233E">
        <w:rPr>
          <w:noProof/>
        </w:rPr>
        <w:fldChar w:fldCharType="separate"/>
      </w:r>
      <w:r w:rsidR="00DE6A26">
        <w:rPr>
          <w:noProof/>
        </w:rPr>
        <w:t>10</w:t>
      </w:r>
      <w:r w:rsidR="0012233E">
        <w:rPr>
          <w:noProof/>
        </w:rPr>
        <w:fldChar w:fldCharType="end"/>
      </w:r>
      <w:bookmarkEnd w:id="43"/>
      <w:r w:rsidRPr="00D13B3A">
        <w:t xml:space="preserve"> - Relative weight of services in total gross and total value-added exports (for selected countries, 2009</w:t>
      </w:r>
      <w:bookmarkEnd w:id="44"/>
      <w:r w:rsidRPr="00D13B3A">
        <w:t>)</w:t>
      </w:r>
      <w:bookmarkEnd w:id="45"/>
    </w:p>
    <w:p w:rsidR="001F5E34" w:rsidRPr="00D13B3A" w:rsidRDefault="001F5E34" w:rsidP="001F5E34">
      <w:pPr>
        <w:pStyle w:val="Corpodetexto"/>
        <w:ind w:firstLine="708"/>
        <w:jc w:val="center"/>
        <w:rPr>
          <w:lang w:val="en-US"/>
        </w:rPr>
      </w:pPr>
      <w:r w:rsidRPr="00D13B3A">
        <w:rPr>
          <w:noProof/>
          <w:lang w:val="pt-PT"/>
        </w:rPr>
        <w:drawing>
          <wp:inline distT="0" distB="0" distL="0" distR="0">
            <wp:extent cx="4364973" cy="2522978"/>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4781" cy="2522867"/>
                    </a:xfrm>
                    <a:prstGeom prst="rect">
                      <a:avLst/>
                    </a:prstGeom>
                    <a:noFill/>
                    <a:ln>
                      <a:noFill/>
                    </a:ln>
                  </pic:spPr>
                </pic:pic>
              </a:graphicData>
            </a:graphic>
          </wp:inline>
        </w:drawing>
      </w:r>
    </w:p>
    <w:p w:rsidR="001F5E34" w:rsidRPr="00D13B3A" w:rsidRDefault="001F5E34" w:rsidP="001F5E34">
      <w:pPr>
        <w:pStyle w:val="Corpodetexto"/>
        <w:spacing w:after="240"/>
        <w:jc w:val="center"/>
        <w:rPr>
          <w:sz w:val="20"/>
          <w:szCs w:val="20"/>
          <w:lang w:val="en-US"/>
        </w:rPr>
      </w:pPr>
      <w:r w:rsidRPr="00D13B3A">
        <w:rPr>
          <w:sz w:val="20"/>
          <w:szCs w:val="20"/>
          <w:lang w:val="en-US"/>
        </w:rPr>
        <w:t>Source: OECD &amp; WTO (2013).</w:t>
      </w:r>
    </w:p>
    <w:p w:rsidR="00592A7F" w:rsidRDefault="00592A7F" w:rsidP="00150D92">
      <w:pPr>
        <w:pStyle w:val="Corpodetexto"/>
        <w:spacing w:line="480" w:lineRule="auto"/>
        <w:ind w:firstLine="709"/>
        <w:rPr>
          <w:lang w:val="en-US"/>
        </w:rPr>
      </w:pPr>
    </w:p>
    <w:p w:rsidR="00430390" w:rsidRPr="00D13B3A" w:rsidRDefault="00150D92" w:rsidP="00E226FD">
      <w:pPr>
        <w:pStyle w:val="Corpodetexto"/>
        <w:spacing w:line="480" w:lineRule="auto"/>
        <w:ind w:firstLine="709"/>
        <w:rPr>
          <w:lang w:val="en-US"/>
        </w:rPr>
      </w:pPr>
      <w:r w:rsidRPr="00D13B3A">
        <w:rPr>
          <w:lang w:val="en-US"/>
        </w:rPr>
        <w:t>F</w:t>
      </w:r>
      <w:r w:rsidR="00781CE6">
        <w:rPr>
          <w:lang w:val="en-US"/>
        </w:rPr>
        <w:t>inally</w:t>
      </w:r>
      <w:r w:rsidR="00471477" w:rsidRPr="00D13B3A">
        <w:rPr>
          <w:lang w:val="en-US"/>
        </w:rPr>
        <w:t xml:space="preserve">, regarding the new winners and losers of bilateral trade, the OECD, under the so-called joint OECD-WTO </w:t>
      </w:r>
      <w:proofErr w:type="spellStart"/>
      <w:r w:rsidR="00471477" w:rsidRPr="00D13B3A">
        <w:rPr>
          <w:lang w:val="en-US"/>
        </w:rPr>
        <w:t>TiVA</w:t>
      </w:r>
      <w:proofErr w:type="spellEnd"/>
      <w:r w:rsidR="00471477" w:rsidRPr="00D13B3A">
        <w:rPr>
          <w:lang w:val="en-US"/>
        </w:rPr>
        <w:t xml:space="preserve"> initiative, started </w:t>
      </w:r>
      <w:r w:rsidR="009A185E" w:rsidRPr="00D13B3A">
        <w:rPr>
          <w:lang w:val="en-US"/>
        </w:rPr>
        <w:t xml:space="preserve">in January 2013 </w:t>
      </w:r>
      <w:r w:rsidR="00471477" w:rsidRPr="00D13B3A">
        <w:rPr>
          <w:lang w:val="en-US"/>
        </w:rPr>
        <w:t xml:space="preserve">to publish </w:t>
      </w:r>
      <w:r w:rsidR="00471477" w:rsidRPr="00D13B3A">
        <w:rPr>
          <w:lang w:val="en-US"/>
        </w:rPr>
        <w:lastRenderedPageBreak/>
        <w:t xml:space="preserve">bilateral trade balances measured in </w:t>
      </w:r>
      <w:proofErr w:type="spellStart"/>
      <w:r w:rsidR="00471477" w:rsidRPr="00D13B3A">
        <w:rPr>
          <w:lang w:val="en-US"/>
        </w:rPr>
        <w:t>TiVA</w:t>
      </w:r>
      <w:proofErr w:type="spellEnd"/>
      <w:r w:rsidR="00471477" w:rsidRPr="00D13B3A">
        <w:rPr>
          <w:lang w:val="en-US"/>
        </w:rPr>
        <w:t xml:space="preserve"> terms</w:t>
      </w:r>
      <w:r w:rsidR="009A185E" w:rsidRPr="009A185E">
        <w:rPr>
          <w:lang w:val="en-US"/>
        </w:rPr>
        <w:t xml:space="preserve"> </w:t>
      </w:r>
      <w:r w:rsidR="009A185E">
        <w:rPr>
          <w:lang w:val="en-US"/>
        </w:rPr>
        <w:t>on a regular basis</w:t>
      </w:r>
      <w:r w:rsidR="00471477" w:rsidRPr="00D13B3A">
        <w:rPr>
          <w:rStyle w:val="Refdenotaderodap"/>
          <w:lang w:val="en-US"/>
        </w:rPr>
        <w:footnoteReference w:id="44"/>
      </w:r>
      <w:r w:rsidR="00471477" w:rsidRPr="00D13B3A">
        <w:rPr>
          <w:lang w:val="en-US"/>
        </w:rPr>
        <w:t xml:space="preserve">. In its first release, the OECD estimated that the US trade deficit with </w:t>
      </w:r>
      <w:r w:rsidR="0042052F" w:rsidRPr="00D13B3A">
        <w:rPr>
          <w:lang w:val="en-US"/>
        </w:rPr>
        <w:t xml:space="preserve">the </w:t>
      </w:r>
      <w:r w:rsidR="00471477" w:rsidRPr="00D13B3A">
        <w:rPr>
          <w:lang w:val="en-US"/>
        </w:rPr>
        <w:t xml:space="preserve">PRC in 2009, measured in </w:t>
      </w:r>
      <w:proofErr w:type="spellStart"/>
      <w:r w:rsidR="00471477" w:rsidRPr="00D13B3A">
        <w:rPr>
          <w:lang w:val="en-US"/>
        </w:rPr>
        <w:t>TiVA</w:t>
      </w:r>
      <w:proofErr w:type="spellEnd"/>
      <w:r w:rsidR="00471477" w:rsidRPr="00D13B3A">
        <w:rPr>
          <w:lang w:val="en-US"/>
        </w:rPr>
        <w:t xml:space="preserve"> terms, was 25% smaller than when measured in gross terms, largely because PRC businesses use inputs supplied by other countries, including the US, to make the goods that eventually sell to US consumers (as referred at the product level for the iPhone case in section 1.1 of this thesis)</w:t>
      </w:r>
      <w:r w:rsidR="00471477" w:rsidRPr="00D13B3A">
        <w:rPr>
          <w:rStyle w:val="Refdenotaderodap"/>
          <w:lang w:val="en-US"/>
        </w:rPr>
        <w:footnoteReference w:id="45"/>
      </w:r>
      <w:r w:rsidR="00471477" w:rsidRPr="00D13B3A">
        <w:rPr>
          <w:lang w:val="en-US"/>
        </w:rPr>
        <w:t xml:space="preserve">. US bilateral trade deficits were also smaller with Canada and Mexico when measured in </w:t>
      </w:r>
      <w:proofErr w:type="spellStart"/>
      <w:r w:rsidR="00471477" w:rsidRPr="00D13B3A">
        <w:rPr>
          <w:lang w:val="en-US"/>
        </w:rPr>
        <w:t>TiVA</w:t>
      </w:r>
      <w:proofErr w:type="spellEnd"/>
      <w:r w:rsidR="00471477" w:rsidRPr="00D13B3A">
        <w:rPr>
          <w:lang w:val="en-US"/>
        </w:rPr>
        <w:t xml:space="preserve"> terms (they were larger with Japan and Germany though). Additionally, the US substituted France as both Germany's largest client and supplier when </w:t>
      </w:r>
      <w:proofErr w:type="spellStart"/>
      <w:r w:rsidR="00471477" w:rsidRPr="00D13B3A">
        <w:rPr>
          <w:lang w:val="en-US"/>
        </w:rPr>
        <w:t>TiVA</w:t>
      </w:r>
      <w:proofErr w:type="spellEnd"/>
      <w:r w:rsidR="00471477" w:rsidRPr="00D13B3A">
        <w:rPr>
          <w:lang w:val="en-US"/>
        </w:rPr>
        <w:t xml:space="preserve"> replaced gross data, indicating that what Germany </w:t>
      </w:r>
      <w:r w:rsidR="0042052F" w:rsidRPr="00D13B3A">
        <w:rPr>
          <w:lang w:val="en-US"/>
        </w:rPr>
        <w:t>bought</w:t>
      </w:r>
      <w:r w:rsidR="00471477" w:rsidRPr="00D13B3A">
        <w:rPr>
          <w:lang w:val="en-US"/>
        </w:rPr>
        <w:t xml:space="preserve"> from other European nations might have </w:t>
      </w:r>
      <w:r w:rsidR="0042052F" w:rsidRPr="00D13B3A">
        <w:rPr>
          <w:lang w:val="en-US"/>
        </w:rPr>
        <w:t xml:space="preserve">had </w:t>
      </w:r>
      <w:r w:rsidR="00471477" w:rsidRPr="00D13B3A">
        <w:rPr>
          <w:lang w:val="en-US"/>
        </w:rPr>
        <w:t>a significant US component embedded</w:t>
      </w:r>
      <w:r w:rsidR="00471477" w:rsidRPr="00D13B3A">
        <w:rPr>
          <w:rStyle w:val="Refdenotaderodap"/>
          <w:lang w:val="en-US"/>
        </w:rPr>
        <w:footnoteReference w:id="46"/>
      </w:r>
      <w:r w:rsidR="00471477" w:rsidRPr="00D13B3A">
        <w:rPr>
          <w:lang w:val="en-US"/>
        </w:rPr>
        <w:t xml:space="preserve">. </w:t>
      </w:r>
    </w:p>
    <w:p w:rsidR="00430390" w:rsidRPr="00D13B3A" w:rsidRDefault="00430390">
      <w:pPr>
        <w:pStyle w:val="Avanodecorpodetexto"/>
        <w:jc w:val="center"/>
        <w:rPr>
          <w:b/>
          <w:sz w:val="32"/>
          <w:lang w:val="en-US"/>
        </w:rPr>
        <w:sectPr w:rsidR="00430390" w:rsidRPr="00D13B3A" w:rsidSect="00B22138">
          <w:headerReference w:type="default" r:id="rId24"/>
          <w:headerReference w:type="first" r:id="rId25"/>
          <w:footerReference w:type="first" r:id="rId26"/>
          <w:type w:val="nextColumn"/>
          <w:pgSz w:w="11906" w:h="16838"/>
          <w:pgMar w:top="1701" w:right="1701" w:bottom="1701" w:left="1701" w:header="720" w:footer="720" w:gutter="0"/>
          <w:pgNumType w:start="1" w:chapSep="emDash"/>
          <w:cols w:space="720"/>
          <w:titlePg/>
        </w:sectPr>
      </w:pPr>
    </w:p>
    <w:p w:rsidR="000733D6" w:rsidRPr="00D13B3A" w:rsidRDefault="000733D6" w:rsidP="007C6F03">
      <w:pPr>
        <w:keepNext/>
        <w:widowControl w:val="0"/>
        <w:spacing w:line="480" w:lineRule="auto"/>
        <w:rPr>
          <w:lang w:val="en-US"/>
        </w:rPr>
      </w:pPr>
      <w:bookmarkStart w:id="46" w:name="_Toc55040848"/>
      <w:bookmarkStart w:id="47" w:name="_Ref56084849"/>
      <w:bookmarkStart w:id="48" w:name="_Toc56397528"/>
    </w:p>
    <w:bookmarkEnd w:id="46"/>
    <w:bookmarkEnd w:id="47"/>
    <w:bookmarkEnd w:id="48"/>
    <w:p w:rsidR="006C5324" w:rsidRPr="00D13B3A" w:rsidRDefault="006C5324">
      <w:pPr>
        <w:rPr>
          <w:color w:val="000000"/>
          <w:sz w:val="16"/>
          <w:szCs w:val="16"/>
          <w:lang w:val="en-US"/>
        </w:rPr>
      </w:pPr>
    </w:p>
    <w:sectPr w:rsidR="006C5324" w:rsidRPr="00D13B3A" w:rsidSect="00B22138">
      <w:headerReference w:type="default" r:id="rId27"/>
      <w:headerReference w:type="first" r:id="rId28"/>
      <w:type w:val="nextColumn"/>
      <w:pgSz w:w="11906" w:h="16838"/>
      <w:pgMar w:top="1701" w:right="1701" w:bottom="1701" w:left="1701" w:header="720" w:footer="720" w:gutter="0"/>
      <w:pgNumType w:chapSep="em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54C6" w:rsidRDefault="00CB54C6" w:rsidP="00430390">
      <w:r>
        <w:separator/>
      </w:r>
    </w:p>
  </w:endnote>
  <w:endnote w:type="continuationSeparator" w:id="0">
    <w:p w:rsidR="00CB54C6" w:rsidRDefault="00CB54C6" w:rsidP="00430390">
      <w:r>
        <w:continuationSeparator/>
      </w:r>
    </w:p>
  </w:endnote>
  <w:endnote w:type="continuationNotice" w:id="1">
    <w:p w:rsidR="00CB54C6" w:rsidRDefault="00CB5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nkGothITC Bk BT">
    <w:altName w:val="FrnkGothITC Bk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569" w:rsidRDefault="004D056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661939"/>
      <w:docPartObj>
        <w:docPartGallery w:val="Page Numbers (Bottom of Page)"/>
        <w:docPartUnique/>
      </w:docPartObj>
    </w:sdtPr>
    <w:sdtEndPr/>
    <w:sdtContent>
      <w:p w:rsidR="0098614F" w:rsidRDefault="00E27028">
        <w:pPr>
          <w:pStyle w:val="Rodap"/>
          <w:jc w:val="center"/>
        </w:pPr>
        <w:r>
          <w:fldChar w:fldCharType="begin"/>
        </w:r>
        <w:r w:rsidR="0098614F">
          <w:instrText>PAGE   \* MERGEFORMAT</w:instrText>
        </w:r>
        <w:r>
          <w:fldChar w:fldCharType="separate"/>
        </w:r>
        <w:r w:rsidR="005F5C2B" w:rsidRPr="005F5C2B">
          <w:rPr>
            <w:noProof/>
            <w:lang w:val="pt-PT"/>
          </w:rPr>
          <w:t>81</w:t>
        </w:r>
        <w:r>
          <w:fldChar w:fldCharType="end"/>
        </w:r>
      </w:p>
    </w:sdtContent>
  </w:sdt>
  <w:p w:rsidR="0098614F" w:rsidRDefault="0098614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124977"/>
      <w:docPartObj>
        <w:docPartGallery w:val="Page Numbers (Bottom of Page)"/>
        <w:docPartUnique/>
      </w:docPartObj>
    </w:sdtPr>
    <w:sdtEndPr/>
    <w:sdtContent>
      <w:p w:rsidR="0098614F" w:rsidRDefault="00E27028">
        <w:pPr>
          <w:pStyle w:val="Rodap"/>
          <w:jc w:val="center"/>
        </w:pPr>
        <w:r>
          <w:fldChar w:fldCharType="begin"/>
        </w:r>
        <w:r w:rsidR="0098614F">
          <w:instrText>PAGE   \* MERGEFORMAT</w:instrText>
        </w:r>
        <w:r>
          <w:fldChar w:fldCharType="separate"/>
        </w:r>
        <w:r w:rsidR="005F5C2B" w:rsidRPr="005F5C2B">
          <w:rPr>
            <w:noProof/>
            <w:lang w:val="pt-PT"/>
          </w:rPr>
          <w:t>i</w:t>
        </w:r>
        <w:r>
          <w:fldChar w:fldCharType="end"/>
        </w:r>
      </w:p>
    </w:sdtContent>
  </w:sdt>
  <w:p w:rsidR="0098614F" w:rsidRDefault="0098614F" w:rsidP="007D1FB5">
    <w:pPr>
      <w:pStyle w:val="Rodap"/>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14F" w:rsidRDefault="00E27028" w:rsidP="007D1FB5">
    <w:pPr>
      <w:pStyle w:val="Rodap"/>
      <w:framePr w:wrap="around" w:vAnchor="text" w:hAnchor="margin" w:xAlign="center" w:y="1"/>
      <w:rPr>
        <w:rStyle w:val="Nmerodepgina"/>
      </w:rPr>
    </w:pPr>
    <w:r>
      <w:rPr>
        <w:rStyle w:val="Nmerodepgina"/>
      </w:rPr>
      <w:fldChar w:fldCharType="begin"/>
    </w:r>
    <w:r w:rsidR="0098614F">
      <w:rPr>
        <w:rStyle w:val="Nmerodepgina"/>
      </w:rPr>
      <w:instrText xml:space="preserve">PAGE  </w:instrText>
    </w:r>
    <w:r>
      <w:rPr>
        <w:rStyle w:val="Nmerodepgina"/>
      </w:rPr>
      <w:fldChar w:fldCharType="separate"/>
    </w:r>
    <w:r w:rsidR="005F5C2B">
      <w:rPr>
        <w:rStyle w:val="Nmerodepgina"/>
        <w:noProof/>
      </w:rPr>
      <w:t>53</w:t>
    </w:r>
    <w:r>
      <w:rPr>
        <w:rStyle w:val="Nmerodepgina"/>
      </w:rPr>
      <w:fldChar w:fldCharType="end"/>
    </w:r>
  </w:p>
  <w:p w:rsidR="0098614F" w:rsidRDefault="0098614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54C6" w:rsidRDefault="00CB54C6" w:rsidP="00430390">
      <w:r>
        <w:separator/>
      </w:r>
    </w:p>
  </w:footnote>
  <w:footnote w:type="continuationSeparator" w:id="0">
    <w:p w:rsidR="00CB54C6" w:rsidRDefault="00CB54C6" w:rsidP="00430390">
      <w:r>
        <w:continuationSeparator/>
      </w:r>
    </w:p>
  </w:footnote>
  <w:footnote w:type="continuationNotice" w:id="1">
    <w:p w:rsidR="00CB54C6" w:rsidRDefault="00CB54C6"/>
  </w:footnote>
  <w:footnote w:id="2">
    <w:p w:rsidR="0098614F" w:rsidRPr="00BA2A46" w:rsidRDefault="0098614F" w:rsidP="00BA2A46">
      <w:pPr>
        <w:pStyle w:val="Textodenotaderodap"/>
        <w:jc w:val="both"/>
        <w:rPr>
          <w:sz w:val="18"/>
          <w:szCs w:val="18"/>
        </w:rPr>
      </w:pPr>
      <w:r w:rsidRPr="00BA2A46">
        <w:rPr>
          <w:rStyle w:val="Refdenotaderodap"/>
          <w:sz w:val="18"/>
          <w:szCs w:val="18"/>
        </w:rPr>
        <w:footnoteRef/>
      </w:r>
      <w:r w:rsidRPr="00BA2A46">
        <w:rPr>
          <w:sz w:val="18"/>
          <w:szCs w:val="18"/>
        </w:rPr>
        <w:t xml:space="preserve"> </w:t>
      </w:r>
      <w:r w:rsidRPr="00BA2A46">
        <w:rPr>
          <w:sz w:val="18"/>
          <w:szCs w:val="18"/>
          <w:lang w:val="en-US"/>
        </w:rPr>
        <w:t>The average global trade cost measure presented by Baldwin (2011) was estimated with a gravity regression</w:t>
      </w:r>
      <w:r>
        <w:rPr>
          <w:sz w:val="18"/>
          <w:szCs w:val="18"/>
          <w:lang w:val="en-US"/>
        </w:rPr>
        <w:t>. It was</w:t>
      </w:r>
      <w:r w:rsidRPr="00BA2A46">
        <w:rPr>
          <w:sz w:val="18"/>
          <w:szCs w:val="18"/>
          <w:lang w:val="en-US"/>
        </w:rPr>
        <w:t xml:space="preserve"> based on the micro-based measure of trade friction suggested by Jacks et al (2011).</w:t>
      </w:r>
    </w:p>
  </w:footnote>
  <w:footnote w:id="3">
    <w:p w:rsidR="0098614F" w:rsidRPr="003A3B50" w:rsidRDefault="0098614F" w:rsidP="007B74AD">
      <w:pPr>
        <w:pStyle w:val="Textodenotaderodap"/>
        <w:jc w:val="both"/>
        <w:rPr>
          <w:sz w:val="18"/>
          <w:szCs w:val="18"/>
        </w:rPr>
      </w:pPr>
      <w:r w:rsidRPr="003A3B50">
        <w:rPr>
          <w:rStyle w:val="Refdenotaderodap"/>
          <w:sz w:val="18"/>
          <w:szCs w:val="18"/>
        </w:rPr>
        <w:footnoteRef/>
      </w:r>
      <w:r w:rsidRPr="003A3B50">
        <w:rPr>
          <w:sz w:val="18"/>
          <w:szCs w:val="18"/>
        </w:rPr>
        <w:t xml:space="preserve"> </w:t>
      </w:r>
      <w:r>
        <w:rPr>
          <w:sz w:val="18"/>
          <w:szCs w:val="18"/>
        </w:rPr>
        <w:t xml:space="preserve">For more detailed information about the role played by services supporting manufacturing, see </w:t>
      </w:r>
      <w:r w:rsidRPr="003A3B50">
        <w:rPr>
          <w:sz w:val="18"/>
          <w:szCs w:val="18"/>
        </w:rPr>
        <w:t>F</w:t>
      </w:r>
      <w:r>
        <w:rPr>
          <w:sz w:val="18"/>
          <w:szCs w:val="18"/>
        </w:rPr>
        <w:t>eenstra</w:t>
      </w:r>
      <w:r w:rsidRPr="003A3B50">
        <w:rPr>
          <w:sz w:val="18"/>
          <w:szCs w:val="18"/>
        </w:rPr>
        <w:t xml:space="preserve"> (</w:t>
      </w:r>
      <w:r>
        <w:rPr>
          <w:sz w:val="18"/>
          <w:szCs w:val="18"/>
        </w:rPr>
        <w:t>199</w:t>
      </w:r>
      <w:r w:rsidRPr="003A3B50">
        <w:rPr>
          <w:sz w:val="18"/>
          <w:szCs w:val="18"/>
        </w:rPr>
        <w:t>8), A</w:t>
      </w:r>
      <w:r>
        <w:rPr>
          <w:sz w:val="18"/>
          <w:szCs w:val="18"/>
        </w:rPr>
        <w:t xml:space="preserve">miti &amp; </w:t>
      </w:r>
      <w:r w:rsidRPr="003A3B50">
        <w:rPr>
          <w:sz w:val="18"/>
          <w:szCs w:val="18"/>
        </w:rPr>
        <w:t>W</w:t>
      </w:r>
      <w:r>
        <w:rPr>
          <w:sz w:val="18"/>
          <w:szCs w:val="18"/>
        </w:rPr>
        <w:t>ei</w:t>
      </w:r>
      <w:r w:rsidRPr="003A3B50">
        <w:rPr>
          <w:sz w:val="18"/>
          <w:szCs w:val="18"/>
        </w:rPr>
        <w:t xml:space="preserve"> (2005, 2006), V</w:t>
      </w:r>
      <w:r>
        <w:rPr>
          <w:sz w:val="18"/>
          <w:szCs w:val="18"/>
        </w:rPr>
        <w:t xml:space="preserve">an Long </w:t>
      </w:r>
      <w:r w:rsidRPr="00AD6F5B">
        <w:rPr>
          <w:sz w:val="18"/>
          <w:szCs w:val="18"/>
        </w:rPr>
        <w:t>et al</w:t>
      </w:r>
      <w:r w:rsidRPr="003A3B50">
        <w:rPr>
          <w:sz w:val="18"/>
          <w:szCs w:val="18"/>
        </w:rPr>
        <w:t xml:space="preserve"> (2005), C</w:t>
      </w:r>
      <w:r>
        <w:rPr>
          <w:sz w:val="18"/>
          <w:szCs w:val="18"/>
        </w:rPr>
        <w:t>adarso</w:t>
      </w:r>
      <w:r w:rsidRPr="003A3B50">
        <w:rPr>
          <w:sz w:val="18"/>
          <w:szCs w:val="18"/>
        </w:rPr>
        <w:t>-V</w:t>
      </w:r>
      <w:r>
        <w:rPr>
          <w:sz w:val="18"/>
          <w:szCs w:val="18"/>
        </w:rPr>
        <w:t>ecina</w:t>
      </w:r>
      <w:r w:rsidRPr="003A3B50">
        <w:rPr>
          <w:sz w:val="18"/>
          <w:szCs w:val="18"/>
        </w:rPr>
        <w:t xml:space="preserve"> </w:t>
      </w:r>
      <w:r w:rsidRPr="00AD6F5B">
        <w:rPr>
          <w:sz w:val="18"/>
          <w:szCs w:val="18"/>
        </w:rPr>
        <w:t>et al</w:t>
      </w:r>
      <w:r w:rsidRPr="003A3B50">
        <w:rPr>
          <w:sz w:val="18"/>
          <w:szCs w:val="18"/>
        </w:rPr>
        <w:t xml:space="preserve"> (2007), and M</w:t>
      </w:r>
      <w:r>
        <w:rPr>
          <w:sz w:val="18"/>
          <w:szCs w:val="18"/>
        </w:rPr>
        <w:t xml:space="preserve">eng </w:t>
      </w:r>
      <w:r w:rsidRPr="00AD6F5B">
        <w:rPr>
          <w:sz w:val="18"/>
          <w:szCs w:val="18"/>
        </w:rPr>
        <w:t>et al</w:t>
      </w:r>
      <w:r>
        <w:rPr>
          <w:sz w:val="18"/>
          <w:szCs w:val="18"/>
        </w:rPr>
        <w:t xml:space="preserve"> (2011). </w:t>
      </w:r>
      <w:r w:rsidRPr="003A3B50">
        <w:rPr>
          <w:sz w:val="18"/>
          <w:szCs w:val="18"/>
        </w:rPr>
        <w:t>V</w:t>
      </w:r>
      <w:r>
        <w:rPr>
          <w:sz w:val="18"/>
          <w:szCs w:val="18"/>
        </w:rPr>
        <w:t xml:space="preserve">an Long </w:t>
      </w:r>
      <w:r w:rsidRPr="00AD6F5B">
        <w:rPr>
          <w:sz w:val="18"/>
          <w:szCs w:val="18"/>
        </w:rPr>
        <w:t>et al</w:t>
      </w:r>
      <w:r w:rsidRPr="003A3B50">
        <w:rPr>
          <w:sz w:val="18"/>
          <w:szCs w:val="18"/>
        </w:rPr>
        <w:t xml:space="preserve"> (2005) show</w:t>
      </w:r>
      <w:r>
        <w:rPr>
          <w:sz w:val="18"/>
          <w:szCs w:val="18"/>
        </w:rPr>
        <w:t>ed</w:t>
      </w:r>
      <w:r w:rsidRPr="003A3B50">
        <w:rPr>
          <w:sz w:val="18"/>
          <w:szCs w:val="18"/>
        </w:rPr>
        <w:t xml:space="preserve"> how the strongest linkages in </w:t>
      </w:r>
      <w:r>
        <w:rPr>
          <w:sz w:val="18"/>
          <w:szCs w:val="18"/>
        </w:rPr>
        <w:t>Vertical Specialization (VS) we</w:t>
      </w:r>
      <w:r w:rsidRPr="003A3B50">
        <w:rPr>
          <w:sz w:val="18"/>
          <w:szCs w:val="18"/>
        </w:rPr>
        <w:t>re related to services (</w:t>
      </w:r>
      <w:r>
        <w:rPr>
          <w:sz w:val="18"/>
          <w:szCs w:val="18"/>
        </w:rPr>
        <w:t xml:space="preserve">e.g. </w:t>
      </w:r>
      <w:r w:rsidRPr="003A3B50">
        <w:rPr>
          <w:sz w:val="18"/>
          <w:szCs w:val="18"/>
        </w:rPr>
        <w:t>finance and insurance in Luxembourg</w:t>
      </w:r>
      <w:r>
        <w:rPr>
          <w:sz w:val="18"/>
          <w:szCs w:val="18"/>
        </w:rPr>
        <w:t>,</w:t>
      </w:r>
      <w:r w:rsidRPr="003A3B50">
        <w:rPr>
          <w:sz w:val="18"/>
          <w:szCs w:val="18"/>
        </w:rPr>
        <w:t xml:space="preserve"> </w:t>
      </w:r>
      <w:r>
        <w:rPr>
          <w:sz w:val="18"/>
          <w:szCs w:val="18"/>
        </w:rPr>
        <w:t xml:space="preserve">or </w:t>
      </w:r>
      <w:r w:rsidRPr="003A3B50">
        <w:rPr>
          <w:sz w:val="18"/>
          <w:szCs w:val="18"/>
        </w:rPr>
        <w:t>transport and storage in Norway)</w:t>
      </w:r>
      <w:r>
        <w:rPr>
          <w:sz w:val="18"/>
          <w:szCs w:val="18"/>
        </w:rPr>
        <w:t xml:space="preserve">. </w:t>
      </w:r>
      <w:r w:rsidRPr="003A3B50">
        <w:rPr>
          <w:sz w:val="18"/>
          <w:szCs w:val="18"/>
        </w:rPr>
        <w:t>A</w:t>
      </w:r>
      <w:r>
        <w:rPr>
          <w:sz w:val="18"/>
          <w:szCs w:val="18"/>
        </w:rPr>
        <w:t>miti &amp; Wei</w:t>
      </w:r>
      <w:r w:rsidRPr="003A3B50">
        <w:rPr>
          <w:sz w:val="18"/>
          <w:szCs w:val="18"/>
        </w:rPr>
        <w:t xml:space="preserve"> (2005) describe</w:t>
      </w:r>
      <w:r>
        <w:rPr>
          <w:sz w:val="18"/>
          <w:szCs w:val="18"/>
        </w:rPr>
        <w:t>d</w:t>
      </w:r>
      <w:r w:rsidRPr="003A3B50">
        <w:rPr>
          <w:sz w:val="18"/>
          <w:szCs w:val="18"/>
        </w:rPr>
        <w:t xml:space="preserve"> how fragmentation increased in business processing services and </w:t>
      </w:r>
      <w:r>
        <w:rPr>
          <w:sz w:val="18"/>
          <w:szCs w:val="18"/>
        </w:rPr>
        <w:t>ICT industries in recent years</w:t>
      </w:r>
      <w:r w:rsidRPr="003A3B50">
        <w:rPr>
          <w:sz w:val="18"/>
          <w:szCs w:val="18"/>
        </w:rPr>
        <w:t>.</w:t>
      </w:r>
    </w:p>
  </w:footnote>
  <w:footnote w:id="4">
    <w:p w:rsidR="0098614F" w:rsidRPr="008A0A0E" w:rsidRDefault="0098614F" w:rsidP="00811EC4">
      <w:pPr>
        <w:pStyle w:val="Textodenotaderodap"/>
        <w:jc w:val="both"/>
        <w:rPr>
          <w:sz w:val="18"/>
          <w:szCs w:val="18"/>
        </w:rPr>
      </w:pPr>
      <w:r w:rsidRPr="008A0A0E">
        <w:rPr>
          <w:rStyle w:val="Refdenotaderodap"/>
          <w:sz w:val="18"/>
          <w:szCs w:val="18"/>
        </w:rPr>
        <w:footnoteRef/>
      </w:r>
      <w:r w:rsidRPr="008A0A0E">
        <w:rPr>
          <w:sz w:val="18"/>
          <w:szCs w:val="18"/>
        </w:rPr>
        <w:t xml:space="preserve"> OECD </w:t>
      </w:r>
      <w:r w:rsidRPr="00D34558">
        <w:rPr>
          <w:sz w:val="18"/>
          <w:szCs w:val="18"/>
        </w:rPr>
        <w:t>et al</w:t>
      </w:r>
      <w:r w:rsidRPr="008A0A0E">
        <w:rPr>
          <w:sz w:val="18"/>
          <w:szCs w:val="18"/>
        </w:rPr>
        <w:t xml:space="preserve"> (2014) goes deeper into this issue by stating that </w:t>
      </w:r>
      <w:r>
        <w:rPr>
          <w:sz w:val="18"/>
          <w:szCs w:val="18"/>
        </w:rPr>
        <w:t>«</w:t>
      </w:r>
      <w:r w:rsidRPr="000814FB">
        <w:rPr>
          <w:color w:val="000000"/>
          <w:sz w:val="18"/>
          <w:szCs w:val="18"/>
          <w:lang w:val="en-US" w:eastAsia="en-US"/>
        </w:rPr>
        <w:t>GVCs encourage that upward movement by rewarding skills, learning, and innovation. Overcoming obstacles to GVC</w:t>
      </w:r>
      <w:r>
        <w:rPr>
          <w:color w:val="000000"/>
          <w:sz w:val="18"/>
          <w:szCs w:val="18"/>
          <w:lang w:val="en-US" w:eastAsia="en-US"/>
        </w:rPr>
        <w:t>-</w:t>
      </w:r>
      <w:r w:rsidRPr="000814FB">
        <w:rPr>
          <w:color w:val="000000"/>
          <w:sz w:val="18"/>
          <w:szCs w:val="18"/>
          <w:lang w:val="en-US" w:eastAsia="en-US"/>
        </w:rPr>
        <w:t>participation can pay big dividends; developing economies with the fastest growing GVC</w:t>
      </w:r>
      <w:r>
        <w:rPr>
          <w:color w:val="000000"/>
          <w:sz w:val="18"/>
          <w:szCs w:val="18"/>
          <w:lang w:val="en-US" w:eastAsia="en-US"/>
        </w:rPr>
        <w:t>-</w:t>
      </w:r>
      <w:r w:rsidRPr="000814FB">
        <w:rPr>
          <w:color w:val="000000"/>
          <w:sz w:val="18"/>
          <w:szCs w:val="18"/>
          <w:lang w:val="en-US" w:eastAsia="en-US"/>
        </w:rPr>
        <w:t xml:space="preserve">participation have </w:t>
      </w:r>
      <w:r>
        <w:rPr>
          <w:color w:val="000000"/>
          <w:sz w:val="18"/>
          <w:szCs w:val="18"/>
          <w:lang w:val="en-US" w:eastAsia="en-US"/>
        </w:rPr>
        <w:t>GDP</w:t>
      </w:r>
      <w:r w:rsidRPr="000814FB">
        <w:rPr>
          <w:color w:val="000000"/>
          <w:sz w:val="18"/>
          <w:szCs w:val="18"/>
          <w:lang w:val="en-US" w:eastAsia="en-US"/>
        </w:rPr>
        <w:t xml:space="preserve"> per capita growth rates 2% above average. In fact, some developing countries have benefited not just from the foreign investments in the production of goods and services, but increasingly in more advanced operations such as research, design, and innovation</w:t>
      </w:r>
      <w:r>
        <w:rPr>
          <w:sz w:val="18"/>
          <w:szCs w:val="18"/>
        </w:rPr>
        <w:t>»</w:t>
      </w:r>
      <w:r w:rsidRPr="008A0A0E">
        <w:rPr>
          <w:sz w:val="18"/>
          <w:szCs w:val="18"/>
        </w:rPr>
        <w:t>.</w:t>
      </w:r>
    </w:p>
  </w:footnote>
  <w:footnote w:id="5">
    <w:p w:rsidR="0098614F" w:rsidRPr="003A3B50" w:rsidRDefault="0098614F" w:rsidP="00E553BE">
      <w:pPr>
        <w:pStyle w:val="Textodenotaderodap"/>
        <w:jc w:val="both"/>
        <w:rPr>
          <w:sz w:val="18"/>
          <w:szCs w:val="18"/>
        </w:rPr>
      </w:pPr>
      <w:r w:rsidRPr="003A3B50">
        <w:rPr>
          <w:rStyle w:val="Refdenotaderodap"/>
          <w:sz w:val="18"/>
          <w:szCs w:val="18"/>
        </w:rPr>
        <w:footnoteRef/>
      </w:r>
      <w:r w:rsidRPr="003A3B50">
        <w:rPr>
          <w:sz w:val="18"/>
          <w:szCs w:val="18"/>
        </w:rPr>
        <w:t xml:space="preserve"> Other empirical studies </w:t>
      </w:r>
      <w:r>
        <w:rPr>
          <w:sz w:val="18"/>
          <w:szCs w:val="18"/>
        </w:rPr>
        <w:t xml:space="preserve">consistently </w:t>
      </w:r>
      <w:r w:rsidRPr="003A3B50">
        <w:rPr>
          <w:sz w:val="18"/>
          <w:szCs w:val="18"/>
        </w:rPr>
        <w:t>produced similar results</w:t>
      </w:r>
      <w:r>
        <w:rPr>
          <w:sz w:val="18"/>
          <w:szCs w:val="18"/>
        </w:rPr>
        <w:t>, notably: (i)</w:t>
      </w:r>
      <w:r w:rsidRPr="003A3B50">
        <w:rPr>
          <w:sz w:val="18"/>
          <w:szCs w:val="18"/>
        </w:rPr>
        <w:t xml:space="preserve"> </w:t>
      </w:r>
      <w:r>
        <w:rPr>
          <w:sz w:val="18"/>
          <w:szCs w:val="18"/>
        </w:rPr>
        <w:t>Feenstra</w:t>
      </w:r>
      <w:r w:rsidRPr="003A3B50">
        <w:rPr>
          <w:sz w:val="18"/>
          <w:szCs w:val="18"/>
        </w:rPr>
        <w:t xml:space="preserve"> (1998) concluded for several indicators that </w:t>
      </w:r>
      <w:r>
        <w:rPr>
          <w:sz w:val="18"/>
          <w:szCs w:val="18"/>
        </w:rPr>
        <w:t>the countries of the Organization for Economic Co-operation and Development (</w:t>
      </w:r>
      <w:r w:rsidRPr="003A3B50">
        <w:rPr>
          <w:sz w:val="18"/>
          <w:szCs w:val="18"/>
        </w:rPr>
        <w:t>OECD</w:t>
      </w:r>
      <w:r>
        <w:rPr>
          <w:sz w:val="18"/>
          <w:szCs w:val="18"/>
        </w:rPr>
        <w:t>)</w:t>
      </w:r>
      <w:r w:rsidRPr="003A3B50">
        <w:rPr>
          <w:sz w:val="18"/>
          <w:szCs w:val="18"/>
        </w:rPr>
        <w:t xml:space="preserve"> generally observed an increase in the </w:t>
      </w:r>
      <w:r>
        <w:rPr>
          <w:sz w:val="18"/>
          <w:szCs w:val="18"/>
        </w:rPr>
        <w:t>use</w:t>
      </w:r>
      <w:r w:rsidRPr="003A3B50">
        <w:rPr>
          <w:sz w:val="18"/>
          <w:szCs w:val="18"/>
        </w:rPr>
        <w:t xml:space="preserve"> of imported inputs and a reduction in </w:t>
      </w:r>
      <w:r>
        <w:rPr>
          <w:sz w:val="18"/>
          <w:szCs w:val="18"/>
        </w:rPr>
        <w:t xml:space="preserve">the use of </w:t>
      </w:r>
      <w:r w:rsidRPr="003A3B50">
        <w:rPr>
          <w:sz w:val="18"/>
          <w:szCs w:val="18"/>
        </w:rPr>
        <w:t>domestic inputs</w:t>
      </w:r>
      <w:r>
        <w:rPr>
          <w:sz w:val="18"/>
          <w:szCs w:val="18"/>
        </w:rPr>
        <w:t xml:space="preserve"> </w:t>
      </w:r>
      <w:r w:rsidRPr="003A3B50">
        <w:rPr>
          <w:sz w:val="18"/>
          <w:szCs w:val="18"/>
        </w:rPr>
        <w:t xml:space="preserve">between the </w:t>
      </w:r>
      <w:r>
        <w:rPr>
          <w:sz w:val="18"/>
          <w:szCs w:val="18"/>
        </w:rPr>
        <w:t>19</w:t>
      </w:r>
      <w:r w:rsidRPr="003A3B50">
        <w:rPr>
          <w:sz w:val="18"/>
          <w:szCs w:val="18"/>
        </w:rPr>
        <w:t xml:space="preserve">70s and the </w:t>
      </w:r>
      <w:r>
        <w:rPr>
          <w:sz w:val="18"/>
          <w:szCs w:val="18"/>
        </w:rPr>
        <w:t>19</w:t>
      </w:r>
      <w:r w:rsidRPr="003A3B50">
        <w:rPr>
          <w:sz w:val="18"/>
          <w:szCs w:val="18"/>
        </w:rPr>
        <w:t>90s</w:t>
      </w:r>
      <w:r>
        <w:rPr>
          <w:sz w:val="18"/>
          <w:szCs w:val="18"/>
        </w:rPr>
        <w:t>; (ii</w:t>
      </w:r>
      <w:r w:rsidRPr="007B6E68">
        <w:rPr>
          <w:sz w:val="18"/>
          <w:szCs w:val="18"/>
        </w:rPr>
        <w:t>) Yeats (2001) and Hummels et al (2001) concluded that VS was responsible for nearly 30% of global trade in man</w:t>
      </w:r>
      <w:r>
        <w:rPr>
          <w:sz w:val="18"/>
          <w:szCs w:val="18"/>
        </w:rPr>
        <w:t xml:space="preserve">ufactures in 1995; (iii) </w:t>
      </w:r>
      <w:r w:rsidRPr="003A3B50">
        <w:rPr>
          <w:sz w:val="18"/>
          <w:szCs w:val="18"/>
        </w:rPr>
        <w:t>Y</w:t>
      </w:r>
      <w:r>
        <w:rPr>
          <w:sz w:val="18"/>
          <w:szCs w:val="18"/>
        </w:rPr>
        <w:t>i</w:t>
      </w:r>
      <w:r w:rsidRPr="003A3B50">
        <w:rPr>
          <w:sz w:val="18"/>
          <w:szCs w:val="18"/>
        </w:rPr>
        <w:t xml:space="preserve"> (2003) concluded that at least half of the increase in international trade observed since the </w:t>
      </w:r>
      <w:r>
        <w:rPr>
          <w:sz w:val="18"/>
          <w:szCs w:val="18"/>
        </w:rPr>
        <w:t>19</w:t>
      </w:r>
      <w:r w:rsidRPr="003A3B50">
        <w:rPr>
          <w:sz w:val="18"/>
          <w:szCs w:val="18"/>
        </w:rPr>
        <w:t>60s c</w:t>
      </w:r>
      <w:r>
        <w:rPr>
          <w:sz w:val="18"/>
          <w:szCs w:val="18"/>
        </w:rPr>
        <w:t>ould</w:t>
      </w:r>
      <w:r w:rsidRPr="003A3B50">
        <w:rPr>
          <w:sz w:val="18"/>
          <w:szCs w:val="18"/>
        </w:rPr>
        <w:t xml:space="preserve"> be explained by </w:t>
      </w:r>
      <w:r>
        <w:rPr>
          <w:sz w:val="18"/>
          <w:szCs w:val="18"/>
        </w:rPr>
        <w:t>VS;</w:t>
      </w:r>
      <w:r w:rsidRPr="003A3B50">
        <w:rPr>
          <w:sz w:val="18"/>
          <w:szCs w:val="18"/>
        </w:rPr>
        <w:t xml:space="preserve"> </w:t>
      </w:r>
      <w:r>
        <w:rPr>
          <w:sz w:val="18"/>
          <w:szCs w:val="18"/>
        </w:rPr>
        <w:t xml:space="preserve">(iv) </w:t>
      </w:r>
      <w:r w:rsidRPr="003A3B50">
        <w:rPr>
          <w:sz w:val="18"/>
          <w:szCs w:val="18"/>
          <w:lang w:val="en-US" w:eastAsia="es-ES"/>
        </w:rPr>
        <w:t>J</w:t>
      </w:r>
      <w:r>
        <w:rPr>
          <w:sz w:val="18"/>
          <w:szCs w:val="18"/>
          <w:lang w:val="en-US" w:eastAsia="es-ES"/>
        </w:rPr>
        <w:t>ones</w:t>
      </w:r>
      <w:r w:rsidRPr="003A3B50">
        <w:rPr>
          <w:sz w:val="18"/>
          <w:szCs w:val="18"/>
          <w:lang w:val="en-US" w:eastAsia="es-ES"/>
        </w:rPr>
        <w:t xml:space="preserve"> </w:t>
      </w:r>
      <w:r>
        <w:rPr>
          <w:sz w:val="18"/>
          <w:szCs w:val="18"/>
          <w:lang w:val="en-US" w:eastAsia="es-ES"/>
        </w:rPr>
        <w:t>et al</w:t>
      </w:r>
      <w:r w:rsidRPr="003A3B50">
        <w:rPr>
          <w:sz w:val="18"/>
          <w:szCs w:val="18"/>
          <w:lang w:val="en-US" w:eastAsia="es-ES"/>
        </w:rPr>
        <w:t xml:space="preserve"> (2005) and A</w:t>
      </w:r>
      <w:r>
        <w:rPr>
          <w:sz w:val="18"/>
          <w:szCs w:val="18"/>
          <w:lang w:val="en-US" w:eastAsia="es-ES"/>
        </w:rPr>
        <w:t>thukorala &amp;</w:t>
      </w:r>
      <w:r w:rsidRPr="003A3B50">
        <w:rPr>
          <w:sz w:val="18"/>
          <w:szCs w:val="18"/>
          <w:lang w:val="en-US" w:eastAsia="es-ES"/>
        </w:rPr>
        <w:t xml:space="preserve"> Y</w:t>
      </w:r>
      <w:r>
        <w:rPr>
          <w:sz w:val="18"/>
          <w:szCs w:val="18"/>
          <w:lang w:val="en-US" w:eastAsia="es-ES"/>
        </w:rPr>
        <w:t>amashita</w:t>
      </w:r>
      <w:r w:rsidRPr="003A3B50">
        <w:rPr>
          <w:sz w:val="18"/>
          <w:szCs w:val="18"/>
          <w:lang w:val="en-US" w:eastAsia="es-ES"/>
        </w:rPr>
        <w:t xml:space="preserve"> (2006) showed that </w:t>
      </w:r>
      <w:r>
        <w:rPr>
          <w:sz w:val="18"/>
          <w:szCs w:val="18"/>
          <w:lang w:val="en-US" w:eastAsia="es-ES"/>
        </w:rPr>
        <w:t>th</w:t>
      </w:r>
      <w:r w:rsidRPr="003A3B50">
        <w:rPr>
          <w:sz w:val="18"/>
          <w:szCs w:val="18"/>
          <w:lang w:val="en-US" w:eastAsia="es-ES"/>
        </w:rPr>
        <w:t>e growth rates observed in parts and components persistently</w:t>
      </w:r>
      <w:r>
        <w:rPr>
          <w:sz w:val="18"/>
          <w:szCs w:val="18"/>
          <w:lang w:val="en-US" w:eastAsia="es-ES"/>
        </w:rPr>
        <w:t xml:space="preserve"> out</w:t>
      </w:r>
      <w:r w:rsidRPr="003A3B50">
        <w:rPr>
          <w:sz w:val="18"/>
          <w:szCs w:val="18"/>
          <w:lang w:val="en-US" w:eastAsia="es-ES"/>
        </w:rPr>
        <w:t xml:space="preserve">paced the </w:t>
      </w:r>
      <w:r>
        <w:rPr>
          <w:sz w:val="18"/>
          <w:szCs w:val="18"/>
          <w:lang w:val="en-US" w:eastAsia="es-ES"/>
        </w:rPr>
        <w:t xml:space="preserve">growth rates </w:t>
      </w:r>
      <w:r w:rsidRPr="003A3B50">
        <w:rPr>
          <w:sz w:val="18"/>
          <w:szCs w:val="18"/>
          <w:lang w:val="en-US" w:eastAsia="es-ES"/>
        </w:rPr>
        <w:t xml:space="preserve">observed </w:t>
      </w:r>
      <w:r>
        <w:rPr>
          <w:sz w:val="18"/>
          <w:szCs w:val="18"/>
          <w:lang w:val="en-US" w:eastAsia="es-ES"/>
        </w:rPr>
        <w:t xml:space="preserve">for </w:t>
      </w:r>
      <w:r w:rsidRPr="003A3B50">
        <w:rPr>
          <w:sz w:val="18"/>
          <w:szCs w:val="18"/>
          <w:lang w:val="en-US" w:eastAsia="es-ES"/>
        </w:rPr>
        <w:t xml:space="preserve">final goods </w:t>
      </w:r>
      <w:r>
        <w:rPr>
          <w:sz w:val="18"/>
          <w:szCs w:val="18"/>
          <w:lang w:val="en-US" w:eastAsia="es-ES"/>
        </w:rPr>
        <w:t xml:space="preserve">during recent </w:t>
      </w:r>
      <w:r w:rsidRPr="003A3B50">
        <w:rPr>
          <w:sz w:val="18"/>
          <w:szCs w:val="18"/>
          <w:lang w:val="en-US" w:eastAsia="es-ES"/>
        </w:rPr>
        <w:t>decades</w:t>
      </w:r>
      <w:r>
        <w:rPr>
          <w:sz w:val="18"/>
          <w:szCs w:val="18"/>
          <w:lang w:val="en-US" w:eastAsia="es-ES"/>
        </w:rPr>
        <w:t>; and (v) WTO (2009) concluded that manufactured intermediate goods represented around 40% of non-oil world trade in goods in 2007</w:t>
      </w:r>
      <w:r w:rsidRPr="003A3B50">
        <w:rPr>
          <w:sz w:val="18"/>
          <w:szCs w:val="18"/>
          <w:lang w:val="en-US" w:eastAsia="es-ES"/>
        </w:rPr>
        <w:t>.</w:t>
      </w:r>
    </w:p>
  </w:footnote>
  <w:footnote w:id="6">
    <w:p w:rsidR="0098614F" w:rsidRPr="00B52A8B" w:rsidRDefault="0098614F">
      <w:pPr>
        <w:pStyle w:val="Textodenotaderodap"/>
        <w:rPr>
          <w:sz w:val="18"/>
          <w:szCs w:val="18"/>
          <w:lang w:val="en-US" w:eastAsia="es-ES"/>
        </w:rPr>
      </w:pPr>
      <w:r w:rsidRPr="00B52A8B">
        <w:rPr>
          <w:sz w:val="18"/>
          <w:szCs w:val="18"/>
          <w:vertAlign w:val="superscript"/>
          <w:lang w:val="en-US" w:eastAsia="es-ES"/>
        </w:rPr>
        <w:footnoteRef/>
      </w:r>
      <w:r w:rsidRPr="00B52A8B">
        <w:rPr>
          <w:sz w:val="18"/>
          <w:szCs w:val="18"/>
          <w:lang w:val="en-US" w:eastAsia="es-ES"/>
        </w:rPr>
        <w:t xml:space="preserve"> </w:t>
      </w:r>
      <w:r>
        <w:rPr>
          <w:sz w:val="18"/>
          <w:szCs w:val="18"/>
          <w:lang w:val="en-US" w:eastAsia="es-ES"/>
        </w:rPr>
        <w:t>Consisting of Canada, France, Germany, Italy, Japan, the UK, and the US.</w:t>
      </w:r>
    </w:p>
  </w:footnote>
  <w:footnote w:id="7">
    <w:p w:rsidR="0098614F" w:rsidRPr="008D59D8" w:rsidRDefault="0098614F" w:rsidP="00E03850">
      <w:pPr>
        <w:pStyle w:val="Textodenotaderodap"/>
        <w:jc w:val="both"/>
        <w:rPr>
          <w:sz w:val="18"/>
          <w:szCs w:val="18"/>
          <w:lang w:val="es-ES_tradnl"/>
        </w:rPr>
      </w:pPr>
      <w:r w:rsidRPr="00684A69">
        <w:rPr>
          <w:rStyle w:val="Refdenotaderodap"/>
          <w:sz w:val="18"/>
          <w:szCs w:val="18"/>
        </w:rPr>
        <w:footnoteRef/>
      </w:r>
      <w:r w:rsidRPr="002E74FA">
        <w:rPr>
          <w:sz w:val="18"/>
          <w:szCs w:val="18"/>
          <w:lang w:val="en-US"/>
        </w:rPr>
        <w:t xml:space="preserve"> </w:t>
      </w:r>
      <w:r>
        <w:rPr>
          <w:sz w:val="18"/>
          <w:szCs w:val="18"/>
          <w:lang w:val="en-US"/>
        </w:rPr>
        <w:t xml:space="preserve">The following list presents some of the most significant </w:t>
      </w:r>
      <w:r w:rsidRPr="003C04B7">
        <w:rPr>
          <w:sz w:val="18"/>
          <w:szCs w:val="18"/>
          <w:lang w:val="en-US"/>
        </w:rPr>
        <w:t xml:space="preserve">studies carried out </w:t>
      </w:r>
      <w:r>
        <w:rPr>
          <w:sz w:val="18"/>
          <w:szCs w:val="18"/>
          <w:lang w:val="en-US"/>
        </w:rPr>
        <w:t>for this region</w:t>
      </w:r>
      <w:r w:rsidRPr="003C04B7">
        <w:rPr>
          <w:sz w:val="18"/>
          <w:szCs w:val="18"/>
          <w:lang w:val="en-US"/>
        </w:rPr>
        <w:t>: A</w:t>
      </w:r>
      <w:r>
        <w:rPr>
          <w:sz w:val="18"/>
          <w:szCs w:val="18"/>
          <w:lang w:val="en-US"/>
        </w:rPr>
        <w:t>kamatsu</w:t>
      </w:r>
      <w:r w:rsidRPr="003C04B7">
        <w:rPr>
          <w:sz w:val="18"/>
          <w:szCs w:val="18"/>
          <w:lang w:val="en-US"/>
        </w:rPr>
        <w:t xml:space="preserve"> (1962), UNCTAD (1996, 2007), K</w:t>
      </w:r>
      <w:r>
        <w:rPr>
          <w:sz w:val="18"/>
          <w:szCs w:val="18"/>
          <w:lang w:val="en-US"/>
        </w:rPr>
        <w:t>ojima</w:t>
      </w:r>
      <w:r w:rsidRPr="003C04B7">
        <w:rPr>
          <w:sz w:val="18"/>
          <w:szCs w:val="18"/>
          <w:lang w:val="en-US"/>
        </w:rPr>
        <w:t xml:space="preserve"> (2000), C</w:t>
      </w:r>
      <w:r>
        <w:rPr>
          <w:sz w:val="18"/>
          <w:szCs w:val="18"/>
          <w:lang w:val="en-US"/>
        </w:rPr>
        <w:t xml:space="preserve">hudnovsky &amp; </w:t>
      </w:r>
      <w:r w:rsidRPr="003C04B7">
        <w:rPr>
          <w:sz w:val="18"/>
          <w:szCs w:val="18"/>
          <w:lang w:val="en-US"/>
        </w:rPr>
        <w:t>F</w:t>
      </w:r>
      <w:r>
        <w:rPr>
          <w:sz w:val="18"/>
          <w:szCs w:val="18"/>
          <w:lang w:val="en-US"/>
        </w:rPr>
        <w:t>anelli</w:t>
      </w:r>
      <w:r w:rsidRPr="003C04B7">
        <w:rPr>
          <w:sz w:val="18"/>
          <w:szCs w:val="18"/>
          <w:lang w:val="en-US"/>
        </w:rPr>
        <w:t xml:space="preserve"> (2001), </w:t>
      </w:r>
      <w:r w:rsidRPr="00B651F2">
        <w:rPr>
          <w:sz w:val="18"/>
          <w:szCs w:val="18"/>
          <w:lang w:val="en-US"/>
        </w:rPr>
        <w:t>Y</w:t>
      </w:r>
      <w:r>
        <w:rPr>
          <w:sz w:val="18"/>
          <w:szCs w:val="18"/>
          <w:lang w:val="en-US"/>
        </w:rPr>
        <w:t>eats</w:t>
      </w:r>
      <w:r w:rsidRPr="00B651F2">
        <w:rPr>
          <w:sz w:val="18"/>
          <w:szCs w:val="18"/>
          <w:lang w:val="en-US"/>
        </w:rPr>
        <w:t xml:space="preserve"> (2001), N</w:t>
      </w:r>
      <w:r>
        <w:rPr>
          <w:sz w:val="18"/>
          <w:szCs w:val="18"/>
          <w:lang w:val="en-US"/>
        </w:rPr>
        <w:t>g</w:t>
      </w:r>
      <w:r w:rsidRPr="00B651F2">
        <w:rPr>
          <w:sz w:val="18"/>
          <w:szCs w:val="18"/>
          <w:lang w:val="en-US"/>
        </w:rPr>
        <w:t xml:space="preserve"> </w:t>
      </w:r>
      <w:r>
        <w:rPr>
          <w:sz w:val="18"/>
          <w:szCs w:val="18"/>
          <w:lang w:val="en-US"/>
        </w:rPr>
        <w:t>&amp;</w:t>
      </w:r>
      <w:r w:rsidRPr="00B651F2">
        <w:rPr>
          <w:sz w:val="18"/>
          <w:szCs w:val="18"/>
          <w:lang w:val="en-US"/>
        </w:rPr>
        <w:t xml:space="preserve"> Y</w:t>
      </w:r>
      <w:r>
        <w:rPr>
          <w:sz w:val="18"/>
          <w:szCs w:val="18"/>
          <w:lang w:val="en-US"/>
        </w:rPr>
        <w:t>eats</w:t>
      </w:r>
      <w:r w:rsidRPr="00B651F2">
        <w:rPr>
          <w:sz w:val="18"/>
          <w:szCs w:val="18"/>
          <w:lang w:val="en-US"/>
        </w:rPr>
        <w:t xml:space="preserve"> (1999, 2003), L</w:t>
      </w:r>
      <w:r>
        <w:rPr>
          <w:sz w:val="18"/>
          <w:szCs w:val="18"/>
          <w:lang w:val="en-US"/>
        </w:rPr>
        <w:t xml:space="preserve">emoine &amp; </w:t>
      </w:r>
      <w:r w:rsidRPr="005C202D">
        <w:rPr>
          <w:sz w:val="18"/>
          <w:szCs w:val="18"/>
          <w:lang w:val="en-US"/>
        </w:rPr>
        <w:t>Ű</w:t>
      </w:r>
      <w:r>
        <w:rPr>
          <w:sz w:val="18"/>
          <w:szCs w:val="18"/>
          <w:lang w:val="en-US"/>
        </w:rPr>
        <w:t>nal</w:t>
      </w:r>
      <w:r w:rsidRPr="00B651F2">
        <w:rPr>
          <w:sz w:val="18"/>
          <w:szCs w:val="18"/>
          <w:lang w:val="en-US"/>
        </w:rPr>
        <w:t>-K</w:t>
      </w:r>
      <w:r>
        <w:rPr>
          <w:sz w:val="18"/>
          <w:szCs w:val="18"/>
          <w:lang w:val="en-US"/>
        </w:rPr>
        <w:t>esenci</w:t>
      </w:r>
      <w:r w:rsidRPr="00B651F2">
        <w:rPr>
          <w:sz w:val="18"/>
          <w:szCs w:val="18"/>
          <w:lang w:val="en-US"/>
        </w:rPr>
        <w:t xml:space="preserve"> (</w:t>
      </w:r>
      <w:r w:rsidRPr="005E6273">
        <w:rPr>
          <w:sz w:val="18"/>
          <w:szCs w:val="18"/>
          <w:lang w:val="en-US"/>
        </w:rPr>
        <w:t>2004), L</w:t>
      </w:r>
      <w:r>
        <w:rPr>
          <w:sz w:val="18"/>
          <w:szCs w:val="18"/>
          <w:lang w:val="en-US"/>
        </w:rPr>
        <w:t>all</w:t>
      </w:r>
      <w:r w:rsidRPr="005E6273">
        <w:rPr>
          <w:sz w:val="18"/>
          <w:szCs w:val="18"/>
          <w:lang w:val="en-US"/>
        </w:rPr>
        <w:t xml:space="preserve"> </w:t>
      </w:r>
      <w:r w:rsidRPr="005C202D">
        <w:rPr>
          <w:sz w:val="18"/>
          <w:szCs w:val="18"/>
          <w:lang w:val="en-US"/>
        </w:rPr>
        <w:t>et al</w:t>
      </w:r>
      <w:r>
        <w:rPr>
          <w:sz w:val="18"/>
          <w:szCs w:val="18"/>
          <w:lang w:val="en-US"/>
        </w:rPr>
        <w:t xml:space="preserve"> (2004), </w:t>
      </w:r>
      <w:r w:rsidRPr="005E6273">
        <w:rPr>
          <w:sz w:val="18"/>
          <w:szCs w:val="18"/>
          <w:lang w:val="en-US"/>
        </w:rPr>
        <w:t>T</w:t>
      </w:r>
      <w:r>
        <w:rPr>
          <w:sz w:val="18"/>
          <w:szCs w:val="18"/>
          <w:lang w:val="en-US"/>
        </w:rPr>
        <w:t>omiura</w:t>
      </w:r>
      <w:r w:rsidRPr="005E6273">
        <w:rPr>
          <w:sz w:val="18"/>
          <w:szCs w:val="18"/>
          <w:lang w:val="en-US"/>
        </w:rPr>
        <w:t xml:space="preserve"> (2005, 2007)</w:t>
      </w:r>
      <w:r>
        <w:rPr>
          <w:sz w:val="18"/>
          <w:szCs w:val="18"/>
          <w:lang w:val="en-US"/>
        </w:rPr>
        <w:t>,</w:t>
      </w:r>
      <w:r w:rsidRPr="00487913">
        <w:rPr>
          <w:sz w:val="18"/>
          <w:szCs w:val="18"/>
          <w:lang w:val="es-ES_tradnl"/>
        </w:rPr>
        <w:t xml:space="preserve"> U</w:t>
      </w:r>
      <w:r>
        <w:rPr>
          <w:sz w:val="18"/>
          <w:szCs w:val="18"/>
          <w:lang w:val="es-ES_tradnl"/>
        </w:rPr>
        <w:t xml:space="preserve">chida &amp; </w:t>
      </w:r>
      <w:r w:rsidRPr="00487913">
        <w:rPr>
          <w:sz w:val="18"/>
          <w:szCs w:val="18"/>
          <w:lang w:val="es-ES_tradnl"/>
        </w:rPr>
        <w:t>I</w:t>
      </w:r>
      <w:r>
        <w:rPr>
          <w:sz w:val="18"/>
          <w:szCs w:val="18"/>
          <w:lang w:val="es-ES_tradnl"/>
        </w:rPr>
        <w:t>nomata</w:t>
      </w:r>
      <w:r w:rsidRPr="00487913">
        <w:rPr>
          <w:sz w:val="18"/>
          <w:szCs w:val="18"/>
          <w:lang w:val="es-ES_tradnl"/>
        </w:rPr>
        <w:t xml:space="preserve"> (2009), Y</w:t>
      </w:r>
      <w:r>
        <w:rPr>
          <w:sz w:val="18"/>
          <w:szCs w:val="18"/>
          <w:lang w:val="es-ES_tradnl"/>
        </w:rPr>
        <w:t xml:space="preserve">amano </w:t>
      </w:r>
      <w:r w:rsidRPr="005C202D">
        <w:rPr>
          <w:sz w:val="18"/>
          <w:szCs w:val="18"/>
          <w:lang w:val="es-ES_tradnl"/>
        </w:rPr>
        <w:t>et al</w:t>
      </w:r>
      <w:r w:rsidRPr="00487913">
        <w:rPr>
          <w:sz w:val="18"/>
          <w:szCs w:val="18"/>
          <w:lang w:val="es-ES_tradnl"/>
        </w:rPr>
        <w:t xml:space="preserve"> (2011) and </w:t>
      </w:r>
      <w:r>
        <w:rPr>
          <w:sz w:val="18"/>
          <w:szCs w:val="18"/>
          <w:lang w:val="es-ES_tradnl"/>
        </w:rPr>
        <w:t xml:space="preserve">Medeiros </w:t>
      </w:r>
      <w:r w:rsidRPr="00487913">
        <w:rPr>
          <w:sz w:val="18"/>
          <w:szCs w:val="18"/>
          <w:lang w:val="es-ES_tradnl"/>
        </w:rPr>
        <w:t>(2010)</w:t>
      </w:r>
      <w:r w:rsidRPr="005E6273">
        <w:rPr>
          <w:sz w:val="18"/>
          <w:szCs w:val="18"/>
          <w:lang w:val="en-US"/>
        </w:rPr>
        <w:t xml:space="preserve"> for Japan</w:t>
      </w:r>
      <w:r>
        <w:rPr>
          <w:sz w:val="18"/>
          <w:szCs w:val="18"/>
          <w:lang w:val="en-US"/>
        </w:rPr>
        <w:t>;</w:t>
      </w:r>
      <w:r w:rsidRPr="005E6273">
        <w:rPr>
          <w:sz w:val="18"/>
          <w:szCs w:val="18"/>
          <w:lang w:val="en-US"/>
        </w:rPr>
        <w:t xml:space="preserve"> K</w:t>
      </w:r>
      <w:r>
        <w:rPr>
          <w:sz w:val="18"/>
          <w:szCs w:val="18"/>
          <w:lang w:val="en-US"/>
        </w:rPr>
        <w:t xml:space="preserve">imura &amp; </w:t>
      </w:r>
      <w:r w:rsidRPr="005E6273">
        <w:rPr>
          <w:sz w:val="18"/>
          <w:szCs w:val="18"/>
          <w:lang w:val="en-US"/>
        </w:rPr>
        <w:t>A</w:t>
      </w:r>
      <w:r>
        <w:rPr>
          <w:sz w:val="18"/>
          <w:szCs w:val="18"/>
          <w:lang w:val="en-US"/>
        </w:rPr>
        <w:t>ndo (2005)</w:t>
      </w:r>
      <w:r w:rsidRPr="005E6273">
        <w:rPr>
          <w:sz w:val="18"/>
          <w:szCs w:val="18"/>
          <w:lang w:val="en-US"/>
        </w:rPr>
        <w:t xml:space="preserve"> </w:t>
      </w:r>
      <w:r>
        <w:rPr>
          <w:sz w:val="18"/>
          <w:szCs w:val="18"/>
          <w:lang w:val="en-US"/>
        </w:rPr>
        <w:t xml:space="preserve">and </w:t>
      </w:r>
      <w:r w:rsidRPr="005E6273">
        <w:rPr>
          <w:sz w:val="18"/>
          <w:szCs w:val="18"/>
          <w:lang w:val="en-US"/>
        </w:rPr>
        <w:t>P</w:t>
      </w:r>
      <w:r>
        <w:rPr>
          <w:sz w:val="18"/>
          <w:szCs w:val="18"/>
          <w:lang w:val="en-US"/>
        </w:rPr>
        <w:t>ing</w:t>
      </w:r>
      <w:r w:rsidRPr="005E6273">
        <w:rPr>
          <w:sz w:val="18"/>
          <w:szCs w:val="18"/>
          <w:lang w:val="en-US"/>
        </w:rPr>
        <w:t xml:space="preserve"> (200</w:t>
      </w:r>
      <w:r>
        <w:rPr>
          <w:sz w:val="18"/>
          <w:szCs w:val="18"/>
          <w:lang w:val="en-US"/>
        </w:rPr>
        <w:t>5) for the US-PRC relations;</w:t>
      </w:r>
      <w:r w:rsidRPr="005E6273">
        <w:rPr>
          <w:sz w:val="18"/>
          <w:szCs w:val="18"/>
          <w:lang w:val="en-US"/>
        </w:rPr>
        <w:t xml:space="preserve"> </w:t>
      </w:r>
      <w:r w:rsidRPr="00DB4AD3">
        <w:rPr>
          <w:sz w:val="18"/>
          <w:szCs w:val="18"/>
          <w:lang w:val="en-US"/>
        </w:rPr>
        <w:t>G</w:t>
      </w:r>
      <w:r>
        <w:rPr>
          <w:sz w:val="18"/>
          <w:szCs w:val="18"/>
          <w:lang w:val="en-US"/>
        </w:rPr>
        <w:t xml:space="preserve">aulier </w:t>
      </w:r>
      <w:r w:rsidRPr="005C202D">
        <w:rPr>
          <w:sz w:val="18"/>
          <w:szCs w:val="18"/>
          <w:lang w:val="en-US"/>
        </w:rPr>
        <w:t>et al</w:t>
      </w:r>
      <w:r w:rsidRPr="00DB4AD3">
        <w:rPr>
          <w:sz w:val="18"/>
          <w:szCs w:val="18"/>
          <w:lang w:val="en-US"/>
        </w:rPr>
        <w:t xml:space="preserve"> (2005, 2006)</w:t>
      </w:r>
      <w:r>
        <w:rPr>
          <w:sz w:val="18"/>
          <w:szCs w:val="18"/>
          <w:lang w:val="en-US"/>
        </w:rPr>
        <w:t xml:space="preserve">, </w:t>
      </w:r>
      <w:r w:rsidRPr="00487913">
        <w:rPr>
          <w:sz w:val="18"/>
          <w:szCs w:val="18"/>
          <w:lang w:val="en-US"/>
        </w:rPr>
        <w:t>K</w:t>
      </w:r>
      <w:r>
        <w:rPr>
          <w:sz w:val="18"/>
          <w:szCs w:val="18"/>
          <w:lang w:val="en-US"/>
        </w:rPr>
        <w:t>imura</w:t>
      </w:r>
      <w:r w:rsidRPr="00487913">
        <w:rPr>
          <w:sz w:val="18"/>
          <w:szCs w:val="18"/>
          <w:lang w:val="en-US"/>
        </w:rPr>
        <w:t xml:space="preserve"> </w:t>
      </w:r>
      <w:r w:rsidRPr="005C202D">
        <w:rPr>
          <w:sz w:val="18"/>
          <w:szCs w:val="18"/>
          <w:lang w:val="en-US"/>
        </w:rPr>
        <w:t>et al</w:t>
      </w:r>
      <w:r>
        <w:rPr>
          <w:sz w:val="18"/>
          <w:szCs w:val="18"/>
          <w:lang w:val="en-US"/>
        </w:rPr>
        <w:t xml:space="preserve"> (2007), </w:t>
      </w:r>
      <w:r w:rsidRPr="00487913">
        <w:rPr>
          <w:sz w:val="18"/>
          <w:szCs w:val="18"/>
          <w:lang w:val="en-US"/>
        </w:rPr>
        <w:t>Z</w:t>
      </w:r>
      <w:r>
        <w:rPr>
          <w:sz w:val="18"/>
          <w:szCs w:val="18"/>
          <w:lang w:val="en-US"/>
        </w:rPr>
        <w:t xml:space="preserve">hang &amp; </w:t>
      </w:r>
      <w:r w:rsidRPr="00487913">
        <w:rPr>
          <w:sz w:val="18"/>
          <w:szCs w:val="18"/>
          <w:lang w:val="en-US"/>
        </w:rPr>
        <w:t>S</w:t>
      </w:r>
      <w:r>
        <w:rPr>
          <w:sz w:val="18"/>
          <w:szCs w:val="18"/>
          <w:lang w:val="en-US"/>
        </w:rPr>
        <w:t>un</w:t>
      </w:r>
      <w:r w:rsidRPr="00487913">
        <w:rPr>
          <w:sz w:val="18"/>
          <w:szCs w:val="18"/>
          <w:lang w:val="en-US"/>
        </w:rPr>
        <w:t xml:space="preserve"> (2007)</w:t>
      </w:r>
      <w:r>
        <w:rPr>
          <w:sz w:val="18"/>
          <w:szCs w:val="18"/>
          <w:lang w:val="en-US"/>
        </w:rPr>
        <w:t>, Brooks &amp;</w:t>
      </w:r>
      <w:r w:rsidRPr="00487913">
        <w:rPr>
          <w:sz w:val="18"/>
          <w:szCs w:val="18"/>
          <w:lang w:val="en-US"/>
        </w:rPr>
        <w:t xml:space="preserve"> C</w:t>
      </w:r>
      <w:r>
        <w:rPr>
          <w:sz w:val="18"/>
          <w:szCs w:val="18"/>
          <w:lang w:val="en-US"/>
        </w:rPr>
        <w:t xml:space="preserve">hangchun </w:t>
      </w:r>
      <w:r w:rsidRPr="00487913">
        <w:rPr>
          <w:sz w:val="18"/>
          <w:szCs w:val="18"/>
          <w:lang w:val="en-US"/>
        </w:rPr>
        <w:t>(2008), A</w:t>
      </w:r>
      <w:r>
        <w:rPr>
          <w:sz w:val="18"/>
          <w:szCs w:val="18"/>
          <w:lang w:val="en-US"/>
        </w:rPr>
        <w:t>minian</w:t>
      </w:r>
      <w:r w:rsidRPr="00487913">
        <w:rPr>
          <w:sz w:val="18"/>
          <w:szCs w:val="18"/>
          <w:lang w:val="en-US"/>
        </w:rPr>
        <w:t xml:space="preserve"> </w:t>
      </w:r>
      <w:r w:rsidRPr="005C202D">
        <w:rPr>
          <w:sz w:val="18"/>
          <w:szCs w:val="18"/>
          <w:lang w:val="en-US"/>
        </w:rPr>
        <w:t>et al</w:t>
      </w:r>
      <w:r w:rsidRPr="00487913">
        <w:rPr>
          <w:sz w:val="18"/>
          <w:szCs w:val="18"/>
          <w:lang w:val="en-US"/>
        </w:rPr>
        <w:t xml:space="preserve"> (2007), D</w:t>
      </w:r>
      <w:r>
        <w:rPr>
          <w:sz w:val="18"/>
          <w:szCs w:val="18"/>
          <w:lang w:val="en-US"/>
        </w:rPr>
        <w:t>ean</w:t>
      </w:r>
      <w:r w:rsidRPr="00487913">
        <w:rPr>
          <w:sz w:val="18"/>
          <w:szCs w:val="18"/>
          <w:lang w:val="en-US"/>
        </w:rPr>
        <w:t xml:space="preserve"> </w:t>
      </w:r>
      <w:r w:rsidRPr="005C202D">
        <w:rPr>
          <w:sz w:val="18"/>
          <w:szCs w:val="18"/>
          <w:lang w:val="en-US"/>
        </w:rPr>
        <w:t>et al</w:t>
      </w:r>
      <w:r w:rsidRPr="00487913">
        <w:rPr>
          <w:sz w:val="18"/>
          <w:szCs w:val="18"/>
          <w:lang w:val="en-US"/>
        </w:rPr>
        <w:t xml:space="preserve"> (2007), K</w:t>
      </w:r>
      <w:r>
        <w:rPr>
          <w:sz w:val="18"/>
          <w:szCs w:val="18"/>
          <w:lang w:val="en-US"/>
        </w:rPr>
        <w:t xml:space="preserve">oopman </w:t>
      </w:r>
      <w:r w:rsidRPr="005C202D">
        <w:rPr>
          <w:sz w:val="18"/>
          <w:szCs w:val="18"/>
          <w:lang w:val="en-US"/>
        </w:rPr>
        <w:t>et al</w:t>
      </w:r>
      <w:r w:rsidRPr="00487913">
        <w:rPr>
          <w:sz w:val="18"/>
          <w:szCs w:val="18"/>
          <w:lang w:val="en-US"/>
        </w:rPr>
        <w:t xml:space="preserve"> </w:t>
      </w:r>
      <w:r w:rsidRPr="00487913">
        <w:rPr>
          <w:sz w:val="18"/>
          <w:szCs w:val="18"/>
          <w:lang w:val="es-ES_tradnl"/>
        </w:rPr>
        <w:t>(2008), D</w:t>
      </w:r>
      <w:r>
        <w:rPr>
          <w:sz w:val="18"/>
          <w:szCs w:val="18"/>
          <w:lang w:val="es-ES_tradnl"/>
        </w:rPr>
        <w:t xml:space="preserve">ean </w:t>
      </w:r>
      <w:r w:rsidRPr="005C202D">
        <w:rPr>
          <w:sz w:val="18"/>
          <w:szCs w:val="18"/>
          <w:lang w:val="es-ES_tradnl"/>
        </w:rPr>
        <w:t>et al</w:t>
      </w:r>
      <w:r>
        <w:rPr>
          <w:sz w:val="18"/>
          <w:szCs w:val="18"/>
          <w:lang w:val="es-ES_tradnl"/>
        </w:rPr>
        <w:t xml:space="preserve"> (2008) and Yang </w:t>
      </w:r>
      <w:r w:rsidRPr="005C202D">
        <w:rPr>
          <w:sz w:val="18"/>
          <w:szCs w:val="18"/>
          <w:lang w:val="es-ES_tradnl"/>
        </w:rPr>
        <w:t>et al</w:t>
      </w:r>
      <w:r w:rsidRPr="00487913">
        <w:rPr>
          <w:sz w:val="18"/>
          <w:szCs w:val="18"/>
          <w:lang w:val="es-ES_tradnl"/>
        </w:rPr>
        <w:t xml:space="preserve"> (2009)</w:t>
      </w:r>
      <w:r w:rsidRPr="00487913">
        <w:rPr>
          <w:sz w:val="18"/>
          <w:szCs w:val="18"/>
          <w:lang w:val="en-US"/>
        </w:rPr>
        <w:t xml:space="preserve"> </w:t>
      </w:r>
      <w:r w:rsidRPr="00DB4AD3">
        <w:rPr>
          <w:sz w:val="18"/>
          <w:szCs w:val="18"/>
          <w:lang w:val="en-US"/>
        </w:rPr>
        <w:t xml:space="preserve">for </w:t>
      </w:r>
      <w:r>
        <w:rPr>
          <w:sz w:val="18"/>
          <w:szCs w:val="18"/>
          <w:lang w:val="en-US"/>
        </w:rPr>
        <w:t>PRC;</w:t>
      </w:r>
      <w:r w:rsidRPr="00DB4AD3">
        <w:rPr>
          <w:sz w:val="18"/>
          <w:szCs w:val="18"/>
          <w:lang w:val="en-US"/>
        </w:rPr>
        <w:t xml:space="preserve"> A</w:t>
      </w:r>
      <w:r>
        <w:rPr>
          <w:sz w:val="18"/>
          <w:szCs w:val="18"/>
          <w:lang w:val="en-US"/>
        </w:rPr>
        <w:t>ndo</w:t>
      </w:r>
      <w:r w:rsidRPr="00DB4AD3">
        <w:rPr>
          <w:sz w:val="18"/>
          <w:szCs w:val="18"/>
          <w:lang w:val="en-US"/>
        </w:rPr>
        <w:t xml:space="preserve"> (2006), A</w:t>
      </w:r>
      <w:r>
        <w:rPr>
          <w:sz w:val="18"/>
          <w:szCs w:val="18"/>
          <w:lang w:val="en-US"/>
        </w:rPr>
        <w:t xml:space="preserve">thukorala &amp; </w:t>
      </w:r>
      <w:r w:rsidRPr="00DB4AD3">
        <w:rPr>
          <w:sz w:val="18"/>
          <w:szCs w:val="18"/>
          <w:lang w:val="en-US"/>
        </w:rPr>
        <w:t>Y</w:t>
      </w:r>
      <w:r>
        <w:rPr>
          <w:sz w:val="18"/>
          <w:szCs w:val="18"/>
          <w:lang w:val="en-US"/>
        </w:rPr>
        <w:t>amashita</w:t>
      </w:r>
      <w:r w:rsidRPr="00DB4AD3">
        <w:rPr>
          <w:sz w:val="18"/>
          <w:szCs w:val="18"/>
          <w:lang w:val="en-US"/>
        </w:rPr>
        <w:t xml:space="preserve"> (</w:t>
      </w:r>
      <w:r>
        <w:rPr>
          <w:sz w:val="18"/>
          <w:szCs w:val="18"/>
          <w:lang w:val="en-US"/>
        </w:rPr>
        <w:t xml:space="preserve">2006) and </w:t>
      </w:r>
      <w:r w:rsidRPr="00E151D0">
        <w:rPr>
          <w:sz w:val="18"/>
          <w:szCs w:val="18"/>
          <w:lang w:val="en-US"/>
        </w:rPr>
        <w:t>C</w:t>
      </w:r>
      <w:r>
        <w:rPr>
          <w:sz w:val="18"/>
          <w:szCs w:val="18"/>
          <w:lang w:val="en-US"/>
        </w:rPr>
        <w:t>hen</w:t>
      </w:r>
      <w:r w:rsidRPr="00E151D0">
        <w:rPr>
          <w:sz w:val="18"/>
          <w:szCs w:val="18"/>
          <w:lang w:val="en-US"/>
        </w:rPr>
        <w:t xml:space="preserve"> </w:t>
      </w:r>
      <w:r>
        <w:rPr>
          <w:sz w:val="18"/>
          <w:szCs w:val="18"/>
          <w:lang w:val="en-US"/>
        </w:rPr>
        <w:t xml:space="preserve">&amp; </w:t>
      </w:r>
      <w:r w:rsidRPr="00487913">
        <w:rPr>
          <w:sz w:val="18"/>
          <w:szCs w:val="18"/>
          <w:lang w:val="en-US"/>
        </w:rPr>
        <w:t>C</w:t>
      </w:r>
      <w:r>
        <w:rPr>
          <w:sz w:val="18"/>
          <w:szCs w:val="18"/>
          <w:lang w:val="en-US"/>
        </w:rPr>
        <w:t>hang</w:t>
      </w:r>
      <w:r w:rsidRPr="00487913">
        <w:rPr>
          <w:sz w:val="18"/>
          <w:szCs w:val="18"/>
          <w:lang w:val="en-US"/>
        </w:rPr>
        <w:t xml:space="preserve"> (2006) for Taiwan and South Korea</w:t>
      </w:r>
      <w:r>
        <w:rPr>
          <w:sz w:val="18"/>
          <w:szCs w:val="18"/>
          <w:lang w:val="en-US"/>
        </w:rPr>
        <w:t xml:space="preserve">; and </w:t>
      </w:r>
      <w:r w:rsidRPr="00487913">
        <w:rPr>
          <w:sz w:val="18"/>
          <w:szCs w:val="18"/>
          <w:lang w:val="es-ES_tradnl"/>
        </w:rPr>
        <w:t>D</w:t>
      </w:r>
      <w:r>
        <w:rPr>
          <w:sz w:val="18"/>
          <w:szCs w:val="18"/>
          <w:lang w:val="es-ES_tradnl"/>
        </w:rPr>
        <w:t>ean</w:t>
      </w:r>
      <w:r w:rsidRPr="00487913">
        <w:rPr>
          <w:sz w:val="18"/>
          <w:szCs w:val="18"/>
          <w:lang w:val="es-ES_tradnl"/>
        </w:rPr>
        <w:t xml:space="preserve"> </w:t>
      </w:r>
      <w:r w:rsidRPr="005C202D">
        <w:rPr>
          <w:sz w:val="18"/>
          <w:szCs w:val="18"/>
          <w:lang w:val="es-ES_tradnl"/>
        </w:rPr>
        <w:t>et al</w:t>
      </w:r>
      <w:r w:rsidRPr="00487913">
        <w:rPr>
          <w:sz w:val="18"/>
          <w:szCs w:val="18"/>
          <w:lang w:val="es-ES_tradnl"/>
        </w:rPr>
        <w:t xml:space="preserve"> (2009) for the US-Japan-</w:t>
      </w:r>
      <w:r>
        <w:rPr>
          <w:sz w:val="18"/>
          <w:szCs w:val="18"/>
          <w:lang w:val="es-ES_tradnl"/>
        </w:rPr>
        <w:t>PRC</w:t>
      </w:r>
      <w:r w:rsidRPr="00487913">
        <w:rPr>
          <w:sz w:val="18"/>
          <w:szCs w:val="18"/>
          <w:lang w:val="es-ES_tradnl"/>
        </w:rPr>
        <w:t xml:space="preserve"> relationship.</w:t>
      </w:r>
    </w:p>
  </w:footnote>
  <w:footnote w:id="8">
    <w:p w:rsidR="0098614F" w:rsidRPr="00684A69" w:rsidRDefault="0098614F" w:rsidP="00AF0F7E">
      <w:pPr>
        <w:pStyle w:val="Textodenotaderodap"/>
        <w:jc w:val="both"/>
        <w:rPr>
          <w:sz w:val="18"/>
          <w:szCs w:val="18"/>
          <w:lang w:val="fr-FR"/>
        </w:rPr>
      </w:pPr>
      <w:r w:rsidRPr="00684A69">
        <w:rPr>
          <w:rStyle w:val="Refdenotaderodap"/>
          <w:sz w:val="18"/>
          <w:szCs w:val="18"/>
        </w:rPr>
        <w:footnoteRef/>
      </w:r>
      <w:r w:rsidRPr="00684A69">
        <w:rPr>
          <w:sz w:val="18"/>
          <w:szCs w:val="18"/>
          <w:lang w:val="fr-FR"/>
        </w:rPr>
        <w:t xml:space="preserve"> </w:t>
      </w:r>
      <w:r>
        <w:rPr>
          <w:sz w:val="18"/>
          <w:szCs w:val="18"/>
          <w:lang w:val="fr-FR"/>
        </w:rPr>
        <w:t xml:space="preserve">See </w:t>
      </w:r>
      <w:r w:rsidRPr="00684A69">
        <w:rPr>
          <w:sz w:val="18"/>
          <w:szCs w:val="18"/>
          <w:lang w:val="fr-FR"/>
        </w:rPr>
        <w:t>F</w:t>
      </w:r>
      <w:r>
        <w:rPr>
          <w:sz w:val="18"/>
          <w:szCs w:val="18"/>
          <w:lang w:val="fr-FR"/>
        </w:rPr>
        <w:t>eenstra</w:t>
      </w:r>
      <w:r w:rsidRPr="00684A69">
        <w:rPr>
          <w:sz w:val="18"/>
          <w:szCs w:val="18"/>
          <w:lang w:val="fr-FR"/>
        </w:rPr>
        <w:t xml:space="preserve"> (1998), Y</w:t>
      </w:r>
      <w:r>
        <w:rPr>
          <w:sz w:val="18"/>
          <w:szCs w:val="18"/>
          <w:lang w:val="fr-FR"/>
        </w:rPr>
        <w:t xml:space="preserve">eats </w:t>
      </w:r>
      <w:r w:rsidRPr="00684A69">
        <w:rPr>
          <w:sz w:val="18"/>
          <w:szCs w:val="18"/>
          <w:lang w:val="fr-FR"/>
        </w:rPr>
        <w:t xml:space="preserve">(2001) </w:t>
      </w:r>
      <w:r>
        <w:rPr>
          <w:sz w:val="18"/>
          <w:szCs w:val="18"/>
          <w:lang w:val="fr-FR"/>
        </w:rPr>
        <w:t>and</w:t>
      </w:r>
      <w:r w:rsidRPr="00684A69">
        <w:rPr>
          <w:sz w:val="18"/>
          <w:szCs w:val="18"/>
          <w:lang w:val="fr-FR"/>
        </w:rPr>
        <w:t xml:space="preserve"> M</w:t>
      </w:r>
      <w:r>
        <w:rPr>
          <w:sz w:val="18"/>
          <w:szCs w:val="18"/>
          <w:lang w:val="fr-FR"/>
        </w:rPr>
        <w:t>olnar</w:t>
      </w:r>
      <w:r w:rsidRPr="00684A69">
        <w:rPr>
          <w:sz w:val="18"/>
          <w:szCs w:val="18"/>
          <w:lang w:val="fr-FR"/>
        </w:rPr>
        <w:t xml:space="preserve"> </w:t>
      </w:r>
      <w:r w:rsidRPr="005C202D">
        <w:rPr>
          <w:sz w:val="18"/>
          <w:szCs w:val="18"/>
          <w:lang w:val="fr-FR"/>
        </w:rPr>
        <w:t>et al</w:t>
      </w:r>
      <w:r w:rsidRPr="00684A69">
        <w:rPr>
          <w:sz w:val="18"/>
          <w:szCs w:val="18"/>
          <w:lang w:val="fr-FR"/>
        </w:rPr>
        <w:t xml:space="preserve"> (2007).</w:t>
      </w:r>
    </w:p>
  </w:footnote>
  <w:footnote w:id="9">
    <w:p w:rsidR="0098614F" w:rsidRPr="00F404CF" w:rsidRDefault="0098614F" w:rsidP="00AF0F7E">
      <w:pPr>
        <w:pStyle w:val="Textodenotaderodap"/>
        <w:jc w:val="both"/>
        <w:rPr>
          <w:sz w:val="18"/>
          <w:szCs w:val="18"/>
          <w:lang w:val="fr-FR"/>
        </w:rPr>
      </w:pPr>
      <w:r w:rsidRPr="004F430F">
        <w:rPr>
          <w:rStyle w:val="Refdenotaderodap"/>
          <w:sz w:val="18"/>
          <w:szCs w:val="18"/>
        </w:rPr>
        <w:footnoteRef/>
      </w:r>
      <w:r w:rsidRPr="004F430F">
        <w:rPr>
          <w:sz w:val="18"/>
          <w:szCs w:val="18"/>
          <w:lang w:val="fr-FR"/>
        </w:rPr>
        <w:t xml:space="preserve"> </w:t>
      </w:r>
      <w:r>
        <w:rPr>
          <w:sz w:val="18"/>
          <w:szCs w:val="18"/>
          <w:lang w:val="fr-FR"/>
        </w:rPr>
        <w:t xml:space="preserve">See </w:t>
      </w:r>
      <w:r w:rsidRPr="004F430F">
        <w:rPr>
          <w:sz w:val="18"/>
          <w:szCs w:val="18"/>
          <w:lang w:val="fr-FR"/>
        </w:rPr>
        <w:t>F</w:t>
      </w:r>
      <w:r>
        <w:rPr>
          <w:sz w:val="18"/>
          <w:szCs w:val="18"/>
          <w:lang w:val="fr-FR"/>
        </w:rPr>
        <w:t>eenstra</w:t>
      </w:r>
      <w:r w:rsidRPr="004F430F">
        <w:rPr>
          <w:sz w:val="18"/>
          <w:szCs w:val="18"/>
          <w:lang w:val="fr-FR"/>
        </w:rPr>
        <w:t xml:space="preserve"> </w:t>
      </w:r>
      <w:r w:rsidRPr="005C202D">
        <w:rPr>
          <w:sz w:val="18"/>
          <w:szCs w:val="18"/>
          <w:lang w:val="fr-FR"/>
        </w:rPr>
        <w:t>et al</w:t>
      </w:r>
      <w:r w:rsidRPr="004F430F">
        <w:rPr>
          <w:sz w:val="18"/>
          <w:szCs w:val="18"/>
          <w:lang w:val="fr-FR"/>
        </w:rPr>
        <w:t xml:space="preserve"> (1998), B</w:t>
      </w:r>
      <w:r>
        <w:rPr>
          <w:sz w:val="18"/>
          <w:szCs w:val="18"/>
          <w:lang w:val="fr-FR"/>
        </w:rPr>
        <w:t xml:space="preserve">orga &amp; </w:t>
      </w:r>
      <w:r w:rsidRPr="004F430F">
        <w:rPr>
          <w:sz w:val="18"/>
          <w:szCs w:val="18"/>
          <w:lang w:val="fr-FR"/>
        </w:rPr>
        <w:t>Z</w:t>
      </w:r>
      <w:r>
        <w:rPr>
          <w:sz w:val="18"/>
          <w:szCs w:val="18"/>
          <w:lang w:val="fr-FR"/>
        </w:rPr>
        <w:t>eile</w:t>
      </w:r>
      <w:r w:rsidRPr="004F430F">
        <w:rPr>
          <w:sz w:val="18"/>
          <w:szCs w:val="18"/>
          <w:lang w:val="fr-FR"/>
        </w:rPr>
        <w:t xml:space="preserve"> (2004), S</w:t>
      </w:r>
      <w:r>
        <w:rPr>
          <w:sz w:val="18"/>
          <w:szCs w:val="18"/>
          <w:lang w:val="fr-FR"/>
        </w:rPr>
        <w:t>wenson</w:t>
      </w:r>
      <w:r w:rsidRPr="004F430F">
        <w:rPr>
          <w:sz w:val="18"/>
          <w:szCs w:val="18"/>
          <w:lang w:val="fr-FR"/>
        </w:rPr>
        <w:t xml:space="preserve"> (2005), C</w:t>
      </w:r>
      <w:r>
        <w:rPr>
          <w:sz w:val="18"/>
          <w:szCs w:val="18"/>
          <w:lang w:val="fr-FR"/>
        </w:rPr>
        <w:t>hen</w:t>
      </w:r>
      <w:r w:rsidRPr="004F430F">
        <w:rPr>
          <w:sz w:val="18"/>
          <w:szCs w:val="18"/>
          <w:lang w:val="fr-FR"/>
        </w:rPr>
        <w:t xml:space="preserve"> </w:t>
      </w:r>
      <w:r w:rsidRPr="005C202D">
        <w:rPr>
          <w:sz w:val="18"/>
          <w:szCs w:val="18"/>
          <w:lang w:val="fr-FR"/>
        </w:rPr>
        <w:t>et al</w:t>
      </w:r>
      <w:r w:rsidRPr="004F430F">
        <w:rPr>
          <w:sz w:val="18"/>
          <w:szCs w:val="18"/>
          <w:lang w:val="fr-FR"/>
        </w:rPr>
        <w:t xml:space="preserve"> (2005), C</w:t>
      </w:r>
      <w:r>
        <w:rPr>
          <w:sz w:val="18"/>
          <w:szCs w:val="18"/>
          <w:lang w:val="fr-FR"/>
        </w:rPr>
        <w:t>lark</w:t>
      </w:r>
      <w:r w:rsidRPr="004F430F">
        <w:rPr>
          <w:sz w:val="18"/>
          <w:szCs w:val="18"/>
          <w:lang w:val="fr-FR"/>
        </w:rPr>
        <w:t xml:space="preserve"> (2006), A</w:t>
      </w:r>
      <w:r>
        <w:rPr>
          <w:sz w:val="18"/>
          <w:szCs w:val="18"/>
          <w:lang w:val="fr-FR"/>
        </w:rPr>
        <w:t>miti</w:t>
      </w:r>
      <w:r w:rsidRPr="004F430F">
        <w:rPr>
          <w:sz w:val="18"/>
          <w:szCs w:val="18"/>
          <w:lang w:val="fr-FR"/>
        </w:rPr>
        <w:t xml:space="preserve"> </w:t>
      </w:r>
      <w:r>
        <w:rPr>
          <w:sz w:val="18"/>
          <w:szCs w:val="18"/>
          <w:lang w:val="fr-FR"/>
        </w:rPr>
        <w:t xml:space="preserve">&amp; </w:t>
      </w:r>
      <w:r w:rsidRPr="004F430F">
        <w:rPr>
          <w:sz w:val="18"/>
          <w:szCs w:val="18"/>
          <w:lang w:val="fr-FR"/>
        </w:rPr>
        <w:t>W</w:t>
      </w:r>
      <w:r>
        <w:rPr>
          <w:sz w:val="18"/>
          <w:szCs w:val="18"/>
          <w:lang w:val="fr-FR"/>
        </w:rPr>
        <w:t>ei</w:t>
      </w:r>
      <w:r w:rsidRPr="004F430F">
        <w:rPr>
          <w:sz w:val="18"/>
          <w:szCs w:val="18"/>
          <w:lang w:val="fr-FR"/>
        </w:rPr>
        <w:t xml:space="preserve"> (2006), K</w:t>
      </w:r>
      <w:r>
        <w:rPr>
          <w:sz w:val="18"/>
          <w:szCs w:val="18"/>
          <w:lang w:val="fr-FR"/>
        </w:rPr>
        <w:t>urz</w:t>
      </w:r>
      <w:r w:rsidRPr="004F430F">
        <w:rPr>
          <w:sz w:val="18"/>
          <w:szCs w:val="18"/>
          <w:lang w:val="fr-FR"/>
        </w:rPr>
        <w:t xml:space="preserve"> (2006), L</w:t>
      </w:r>
      <w:r>
        <w:rPr>
          <w:sz w:val="18"/>
          <w:szCs w:val="18"/>
          <w:lang w:val="fr-FR"/>
        </w:rPr>
        <w:t xml:space="preserve">iu &amp; </w:t>
      </w:r>
      <w:r w:rsidRPr="004F430F">
        <w:rPr>
          <w:sz w:val="18"/>
          <w:szCs w:val="18"/>
          <w:lang w:val="fr-FR"/>
        </w:rPr>
        <w:t>T</w:t>
      </w:r>
      <w:r>
        <w:rPr>
          <w:sz w:val="18"/>
          <w:szCs w:val="18"/>
          <w:lang w:val="fr-FR"/>
        </w:rPr>
        <w:t xml:space="preserve">refler </w:t>
      </w:r>
      <w:r w:rsidRPr="004F430F">
        <w:rPr>
          <w:sz w:val="18"/>
          <w:szCs w:val="18"/>
          <w:lang w:val="fr-FR"/>
        </w:rPr>
        <w:t xml:space="preserve">(2008) </w:t>
      </w:r>
      <w:r>
        <w:rPr>
          <w:sz w:val="18"/>
          <w:szCs w:val="18"/>
          <w:lang w:val="fr-FR"/>
        </w:rPr>
        <w:t xml:space="preserve">and </w:t>
      </w:r>
      <w:r w:rsidRPr="00F404CF">
        <w:rPr>
          <w:sz w:val="18"/>
          <w:szCs w:val="18"/>
          <w:lang w:val="fr-FR"/>
        </w:rPr>
        <w:t>B</w:t>
      </w:r>
      <w:r>
        <w:rPr>
          <w:sz w:val="18"/>
          <w:szCs w:val="18"/>
          <w:lang w:val="fr-FR"/>
        </w:rPr>
        <w:t>urstein</w:t>
      </w:r>
      <w:r w:rsidRPr="00F404CF">
        <w:rPr>
          <w:sz w:val="18"/>
          <w:szCs w:val="18"/>
          <w:lang w:val="fr-FR"/>
        </w:rPr>
        <w:t xml:space="preserve"> </w:t>
      </w:r>
      <w:r w:rsidRPr="005C202D">
        <w:rPr>
          <w:sz w:val="18"/>
          <w:szCs w:val="18"/>
          <w:lang w:val="fr-FR"/>
        </w:rPr>
        <w:t>et al</w:t>
      </w:r>
      <w:r w:rsidRPr="00F404CF">
        <w:rPr>
          <w:sz w:val="18"/>
          <w:szCs w:val="18"/>
          <w:lang w:val="fr-FR"/>
        </w:rPr>
        <w:t xml:space="preserve"> (2008), the latter </w:t>
      </w:r>
      <w:r>
        <w:rPr>
          <w:sz w:val="18"/>
          <w:szCs w:val="18"/>
          <w:lang w:val="fr-FR"/>
        </w:rPr>
        <w:t>including</w:t>
      </w:r>
      <w:r w:rsidRPr="00F404CF">
        <w:rPr>
          <w:sz w:val="18"/>
          <w:szCs w:val="18"/>
          <w:lang w:val="fr-FR"/>
        </w:rPr>
        <w:t xml:space="preserve"> Mexico.</w:t>
      </w:r>
    </w:p>
  </w:footnote>
  <w:footnote w:id="10">
    <w:p w:rsidR="0098614F" w:rsidRPr="008F2CF2" w:rsidRDefault="0098614F" w:rsidP="00AF0F7E">
      <w:pPr>
        <w:pStyle w:val="Textodenotaderodap"/>
        <w:jc w:val="both"/>
        <w:rPr>
          <w:sz w:val="18"/>
          <w:szCs w:val="18"/>
          <w:lang w:val="en-US"/>
        </w:rPr>
      </w:pPr>
      <w:r w:rsidRPr="00684A69">
        <w:rPr>
          <w:rStyle w:val="Refdenotaderodap"/>
          <w:sz w:val="18"/>
          <w:szCs w:val="18"/>
        </w:rPr>
        <w:footnoteRef/>
      </w:r>
      <w:r w:rsidRPr="008F2CF2">
        <w:rPr>
          <w:sz w:val="18"/>
          <w:szCs w:val="18"/>
          <w:lang w:val="en-US"/>
        </w:rPr>
        <w:t xml:space="preserve"> </w:t>
      </w:r>
      <w:r>
        <w:rPr>
          <w:sz w:val="18"/>
          <w:szCs w:val="18"/>
          <w:lang w:val="en-US"/>
        </w:rPr>
        <w:t xml:space="preserve">See </w:t>
      </w:r>
      <w:r w:rsidRPr="008F2CF2">
        <w:rPr>
          <w:sz w:val="18"/>
          <w:szCs w:val="18"/>
          <w:lang w:val="en-US"/>
        </w:rPr>
        <w:t>C</w:t>
      </w:r>
      <w:r>
        <w:rPr>
          <w:sz w:val="18"/>
          <w:szCs w:val="18"/>
          <w:lang w:val="en-US"/>
        </w:rPr>
        <w:t>alfat</w:t>
      </w:r>
      <w:r w:rsidRPr="008F2CF2">
        <w:rPr>
          <w:sz w:val="18"/>
          <w:szCs w:val="18"/>
          <w:lang w:val="en-US"/>
        </w:rPr>
        <w:t xml:space="preserve"> </w:t>
      </w:r>
      <w:r>
        <w:rPr>
          <w:sz w:val="18"/>
          <w:szCs w:val="18"/>
          <w:lang w:val="en-US"/>
        </w:rPr>
        <w:t>&amp;</w:t>
      </w:r>
      <w:r w:rsidRPr="008F2CF2">
        <w:rPr>
          <w:sz w:val="18"/>
          <w:szCs w:val="18"/>
          <w:lang w:val="en-US"/>
        </w:rPr>
        <w:t xml:space="preserve"> F</w:t>
      </w:r>
      <w:r>
        <w:rPr>
          <w:sz w:val="18"/>
          <w:szCs w:val="18"/>
          <w:lang w:val="en-US"/>
        </w:rPr>
        <w:t>lôres</w:t>
      </w:r>
      <w:r w:rsidRPr="008F2CF2">
        <w:rPr>
          <w:sz w:val="18"/>
          <w:szCs w:val="18"/>
          <w:lang w:val="en-US"/>
        </w:rPr>
        <w:t xml:space="preserve"> (2008) </w:t>
      </w:r>
      <w:r>
        <w:rPr>
          <w:sz w:val="18"/>
          <w:szCs w:val="18"/>
          <w:lang w:val="en-US"/>
        </w:rPr>
        <w:t>and</w:t>
      </w:r>
      <w:r w:rsidRPr="008F2CF2">
        <w:rPr>
          <w:sz w:val="18"/>
          <w:szCs w:val="18"/>
          <w:lang w:val="en-US"/>
        </w:rPr>
        <w:t xml:space="preserve"> F</w:t>
      </w:r>
      <w:r>
        <w:rPr>
          <w:sz w:val="18"/>
          <w:szCs w:val="18"/>
          <w:lang w:val="en-US"/>
        </w:rPr>
        <w:t>lôres</w:t>
      </w:r>
      <w:r w:rsidRPr="008F2CF2">
        <w:rPr>
          <w:sz w:val="18"/>
          <w:szCs w:val="18"/>
          <w:lang w:val="en-US"/>
        </w:rPr>
        <w:t xml:space="preserve"> (2010). L</w:t>
      </w:r>
      <w:r>
        <w:rPr>
          <w:sz w:val="18"/>
          <w:szCs w:val="18"/>
          <w:lang w:val="en-US"/>
        </w:rPr>
        <w:t>all</w:t>
      </w:r>
      <w:r w:rsidRPr="008F2CF2">
        <w:rPr>
          <w:sz w:val="18"/>
          <w:szCs w:val="18"/>
          <w:lang w:val="en-US"/>
        </w:rPr>
        <w:t xml:space="preserve"> </w:t>
      </w:r>
      <w:r w:rsidRPr="001B252A">
        <w:rPr>
          <w:sz w:val="18"/>
          <w:szCs w:val="18"/>
          <w:lang w:val="en-US"/>
        </w:rPr>
        <w:t>et al</w:t>
      </w:r>
      <w:r w:rsidRPr="008F2CF2">
        <w:rPr>
          <w:sz w:val="18"/>
          <w:szCs w:val="18"/>
          <w:lang w:val="en-US"/>
        </w:rPr>
        <w:t xml:space="preserve"> (2004) compared the fragmentation of production in East Asia and Latin America, but </w:t>
      </w:r>
      <w:r>
        <w:rPr>
          <w:sz w:val="18"/>
          <w:szCs w:val="18"/>
          <w:lang w:val="en-US"/>
        </w:rPr>
        <w:t>only in the sectors of electronics and automobiles</w:t>
      </w:r>
      <w:r w:rsidRPr="008F2CF2">
        <w:rPr>
          <w:sz w:val="18"/>
          <w:szCs w:val="18"/>
          <w:lang w:val="en-US"/>
        </w:rPr>
        <w:t>.</w:t>
      </w:r>
    </w:p>
  </w:footnote>
  <w:footnote w:id="11">
    <w:p w:rsidR="0098614F" w:rsidRPr="00E47338" w:rsidRDefault="0098614F" w:rsidP="00AF0F7E">
      <w:pPr>
        <w:pStyle w:val="Textodenotaderodap"/>
        <w:jc w:val="both"/>
        <w:rPr>
          <w:sz w:val="18"/>
          <w:szCs w:val="18"/>
          <w:lang w:val="en-US"/>
        </w:rPr>
      </w:pPr>
      <w:r w:rsidRPr="007949C6">
        <w:rPr>
          <w:rStyle w:val="Refdenotaderodap"/>
          <w:sz w:val="18"/>
          <w:szCs w:val="18"/>
        </w:rPr>
        <w:footnoteRef/>
      </w:r>
      <w:r w:rsidRPr="00A612E8">
        <w:rPr>
          <w:sz w:val="18"/>
          <w:szCs w:val="18"/>
          <w:lang w:val="en-US"/>
        </w:rPr>
        <w:t xml:space="preserve"> See B</w:t>
      </w:r>
      <w:r>
        <w:rPr>
          <w:sz w:val="18"/>
          <w:szCs w:val="18"/>
          <w:lang w:val="en-US"/>
        </w:rPr>
        <w:t>aumann</w:t>
      </w:r>
      <w:r w:rsidRPr="00A612E8">
        <w:rPr>
          <w:sz w:val="18"/>
          <w:szCs w:val="18"/>
          <w:lang w:val="en-US"/>
        </w:rPr>
        <w:t xml:space="preserve"> </w:t>
      </w:r>
      <w:r>
        <w:rPr>
          <w:sz w:val="18"/>
          <w:szCs w:val="18"/>
          <w:lang w:val="en-US"/>
        </w:rPr>
        <w:t xml:space="preserve">&amp; </w:t>
      </w:r>
      <w:r w:rsidRPr="00A612E8">
        <w:rPr>
          <w:sz w:val="18"/>
          <w:szCs w:val="18"/>
          <w:lang w:val="en-US"/>
        </w:rPr>
        <w:t>D</w:t>
      </w:r>
      <w:r>
        <w:rPr>
          <w:sz w:val="18"/>
          <w:szCs w:val="18"/>
          <w:lang w:val="en-US"/>
        </w:rPr>
        <w:t>i</w:t>
      </w:r>
      <w:r w:rsidRPr="00A612E8">
        <w:rPr>
          <w:sz w:val="18"/>
          <w:szCs w:val="18"/>
          <w:lang w:val="en-US"/>
        </w:rPr>
        <w:t xml:space="preserve"> M</w:t>
      </w:r>
      <w:r>
        <w:rPr>
          <w:sz w:val="18"/>
          <w:szCs w:val="18"/>
          <w:lang w:val="en-US"/>
        </w:rPr>
        <w:t>auro</w:t>
      </w:r>
      <w:r w:rsidRPr="00A612E8">
        <w:rPr>
          <w:sz w:val="18"/>
          <w:szCs w:val="18"/>
          <w:lang w:val="en-US"/>
        </w:rPr>
        <w:t xml:space="preserve"> (2007) for the </w:t>
      </w:r>
      <w:r>
        <w:rPr>
          <w:sz w:val="18"/>
          <w:szCs w:val="18"/>
        </w:rPr>
        <w:t xml:space="preserve">by-then </w:t>
      </w:r>
      <w:r w:rsidRPr="003A3B50">
        <w:rPr>
          <w:sz w:val="18"/>
          <w:szCs w:val="18"/>
        </w:rPr>
        <w:t xml:space="preserve">27 countries of the </w:t>
      </w:r>
      <w:r>
        <w:rPr>
          <w:sz w:val="18"/>
          <w:szCs w:val="18"/>
        </w:rPr>
        <w:t>EU</w:t>
      </w:r>
      <w:r w:rsidRPr="003A3B50">
        <w:rPr>
          <w:sz w:val="18"/>
          <w:szCs w:val="18"/>
        </w:rPr>
        <w:t xml:space="preserve"> </w:t>
      </w:r>
      <w:r>
        <w:rPr>
          <w:sz w:val="18"/>
          <w:szCs w:val="18"/>
        </w:rPr>
        <w:t>(EU-27, excluding Croatia, which only became a member of the Union on July 1, 2013)</w:t>
      </w:r>
      <w:r w:rsidRPr="00A612E8">
        <w:rPr>
          <w:sz w:val="18"/>
          <w:szCs w:val="18"/>
          <w:lang w:val="en-US"/>
        </w:rPr>
        <w:t>; C</w:t>
      </w:r>
      <w:r>
        <w:rPr>
          <w:sz w:val="18"/>
          <w:szCs w:val="18"/>
          <w:lang w:val="en-US"/>
        </w:rPr>
        <w:t>adarso</w:t>
      </w:r>
      <w:r w:rsidRPr="00A612E8">
        <w:rPr>
          <w:sz w:val="18"/>
          <w:szCs w:val="18"/>
          <w:lang w:val="en-US"/>
        </w:rPr>
        <w:t>-V</w:t>
      </w:r>
      <w:r>
        <w:rPr>
          <w:sz w:val="18"/>
          <w:szCs w:val="18"/>
          <w:lang w:val="en-US"/>
        </w:rPr>
        <w:t>ecina</w:t>
      </w:r>
      <w:r w:rsidRPr="00A612E8">
        <w:rPr>
          <w:sz w:val="18"/>
          <w:szCs w:val="18"/>
          <w:lang w:val="en-US"/>
        </w:rPr>
        <w:t xml:space="preserve"> </w:t>
      </w:r>
      <w:r w:rsidRPr="001B252A">
        <w:rPr>
          <w:sz w:val="18"/>
          <w:szCs w:val="18"/>
          <w:lang w:val="en-US"/>
        </w:rPr>
        <w:t>et al</w:t>
      </w:r>
      <w:r w:rsidRPr="00A612E8">
        <w:rPr>
          <w:sz w:val="18"/>
          <w:szCs w:val="18"/>
          <w:lang w:val="en-US"/>
        </w:rPr>
        <w:t xml:space="preserve"> (2007) and B</w:t>
      </w:r>
      <w:r>
        <w:rPr>
          <w:sz w:val="18"/>
          <w:szCs w:val="18"/>
          <w:lang w:val="en-US"/>
        </w:rPr>
        <w:t xml:space="preserve">reda </w:t>
      </w:r>
      <w:r w:rsidRPr="001B252A">
        <w:rPr>
          <w:sz w:val="18"/>
          <w:szCs w:val="18"/>
          <w:lang w:val="en-US"/>
        </w:rPr>
        <w:t>et al</w:t>
      </w:r>
      <w:r w:rsidRPr="00A612E8">
        <w:rPr>
          <w:sz w:val="18"/>
          <w:szCs w:val="18"/>
          <w:lang w:val="en-US"/>
        </w:rPr>
        <w:t xml:space="preserve"> (2008) for </w:t>
      </w:r>
      <w:r>
        <w:rPr>
          <w:sz w:val="18"/>
          <w:szCs w:val="18"/>
          <w:lang w:val="en-US"/>
        </w:rPr>
        <w:t xml:space="preserve">selected </w:t>
      </w:r>
      <w:r w:rsidRPr="00A612E8">
        <w:rPr>
          <w:sz w:val="18"/>
          <w:szCs w:val="18"/>
          <w:lang w:val="en-US"/>
        </w:rPr>
        <w:t>EU-27 countries; B</w:t>
      </w:r>
      <w:r>
        <w:rPr>
          <w:sz w:val="18"/>
          <w:szCs w:val="18"/>
          <w:lang w:val="en-US"/>
        </w:rPr>
        <w:t>aldone</w:t>
      </w:r>
      <w:r w:rsidRPr="00A612E8">
        <w:rPr>
          <w:sz w:val="18"/>
          <w:szCs w:val="18"/>
          <w:lang w:val="en-US"/>
        </w:rPr>
        <w:t xml:space="preserve"> </w:t>
      </w:r>
      <w:r w:rsidRPr="001B252A">
        <w:rPr>
          <w:sz w:val="18"/>
          <w:szCs w:val="18"/>
          <w:lang w:val="en-US"/>
        </w:rPr>
        <w:t>et al</w:t>
      </w:r>
      <w:r w:rsidRPr="00A612E8">
        <w:rPr>
          <w:sz w:val="18"/>
          <w:szCs w:val="18"/>
          <w:lang w:val="en-US"/>
        </w:rPr>
        <w:t xml:space="preserve"> (2001, 2007), K</w:t>
      </w:r>
      <w:r>
        <w:rPr>
          <w:sz w:val="18"/>
          <w:szCs w:val="18"/>
          <w:lang w:val="en-US"/>
        </w:rPr>
        <w:t>aminski</w:t>
      </w:r>
      <w:r w:rsidRPr="00A612E8">
        <w:rPr>
          <w:sz w:val="18"/>
          <w:szCs w:val="18"/>
          <w:lang w:val="en-US"/>
        </w:rPr>
        <w:t xml:space="preserve"> </w:t>
      </w:r>
      <w:r>
        <w:rPr>
          <w:sz w:val="18"/>
          <w:szCs w:val="18"/>
          <w:lang w:val="en-US"/>
        </w:rPr>
        <w:t>&amp;</w:t>
      </w:r>
      <w:r w:rsidRPr="00A612E8">
        <w:rPr>
          <w:sz w:val="18"/>
          <w:szCs w:val="18"/>
          <w:lang w:val="en-US"/>
        </w:rPr>
        <w:t xml:space="preserve"> N</w:t>
      </w:r>
      <w:r>
        <w:rPr>
          <w:sz w:val="18"/>
          <w:szCs w:val="18"/>
          <w:lang w:val="en-US"/>
        </w:rPr>
        <w:t>g</w:t>
      </w:r>
      <w:r w:rsidRPr="00A612E8">
        <w:rPr>
          <w:sz w:val="18"/>
          <w:szCs w:val="18"/>
          <w:lang w:val="en-US"/>
        </w:rPr>
        <w:t xml:space="preserve"> (2001), H</w:t>
      </w:r>
      <w:r>
        <w:rPr>
          <w:sz w:val="18"/>
          <w:szCs w:val="18"/>
          <w:lang w:val="en-US"/>
        </w:rPr>
        <w:t>elg</w:t>
      </w:r>
      <w:r w:rsidRPr="00A612E8">
        <w:rPr>
          <w:sz w:val="18"/>
          <w:szCs w:val="18"/>
          <w:lang w:val="en-US"/>
        </w:rPr>
        <w:t xml:space="preserve"> </w:t>
      </w:r>
      <w:r>
        <w:rPr>
          <w:sz w:val="18"/>
          <w:szCs w:val="18"/>
          <w:lang w:val="en-US"/>
        </w:rPr>
        <w:t>&amp;</w:t>
      </w:r>
      <w:r w:rsidRPr="00A612E8">
        <w:rPr>
          <w:sz w:val="18"/>
          <w:szCs w:val="18"/>
          <w:lang w:val="en-US"/>
        </w:rPr>
        <w:t xml:space="preserve"> T</w:t>
      </w:r>
      <w:r>
        <w:rPr>
          <w:sz w:val="18"/>
          <w:szCs w:val="18"/>
          <w:lang w:val="en-US"/>
        </w:rPr>
        <w:t>ajoli</w:t>
      </w:r>
      <w:r w:rsidRPr="00A612E8">
        <w:rPr>
          <w:sz w:val="18"/>
          <w:szCs w:val="18"/>
          <w:lang w:val="en-US"/>
        </w:rPr>
        <w:t xml:space="preserve"> (2005), E</w:t>
      </w:r>
      <w:r>
        <w:rPr>
          <w:sz w:val="18"/>
          <w:szCs w:val="18"/>
          <w:lang w:val="en-US"/>
        </w:rPr>
        <w:t>gger</w:t>
      </w:r>
      <w:r w:rsidRPr="00A612E8">
        <w:rPr>
          <w:sz w:val="18"/>
          <w:szCs w:val="18"/>
          <w:lang w:val="en-US"/>
        </w:rPr>
        <w:t xml:space="preserve"> </w:t>
      </w:r>
      <w:r>
        <w:rPr>
          <w:sz w:val="18"/>
          <w:szCs w:val="18"/>
          <w:lang w:val="en-US"/>
        </w:rPr>
        <w:t>&amp;</w:t>
      </w:r>
      <w:r w:rsidRPr="00A612E8">
        <w:rPr>
          <w:sz w:val="18"/>
          <w:szCs w:val="18"/>
          <w:lang w:val="en-US"/>
        </w:rPr>
        <w:t xml:space="preserve"> E</w:t>
      </w:r>
      <w:r>
        <w:rPr>
          <w:sz w:val="18"/>
          <w:szCs w:val="18"/>
          <w:lang w:val="en-US"/>
        </w:rPr>
        <w:t>gger</w:t>
      </w:r>
      <w:r w:rsidRPr="00A612E8">
        <w:rPr>
          <w:sz w:val="18"/>
          <w:szCs w:val="18"/>
          <w:lang w:val="en-US"/>
        </w:rPr>
        <w:t xml:space="preserve"> (2005) and D</w:t>
      </w:r>
      <w:r>
        <w:rPr>
          <w:sz w:val="18"/>
          <w:szCs w:val="18"/>
          <w:lang w:val="en-US"/>
        </w:rPr>
        <w:t>ullien</w:t>
      </w:r>
      <w:r w:rsidRPr="00A612E8">
        <w:rPr>
          <w:sz w:val="18"/>
          <w:szCs w:val="18"/>
          <w:lang w:val="en-US"/>
        </w:rPr>
        <w:t xml:space="preserve"> (2010) between the EU-15 and the Central and Eastern European count</w:t>
      </w:r>
      <w:r w:rsidRPr="009471F7">
        <w:rPr>
          <w:sz w:val="18"/>
          <w:szCs w:val="18"/>
          <w:lang w:val="en-US"/>
        </w:rPr>
        <w:t>ries</w:t>
      </w:r>
      <w:r>
        <w:rPr>
          <w:sz w:val="18"/>
          <w:szCs w:val="18"/>
          <w:lang w:val="en-US"/>
        </w:rPr>
        <w:t xml:space="preserve"> (CEEC)</w:t>
      </w:r>
      <w:r w:rsidRPr="009471F7">
        <w:rPr>
          <w:sz w:val="18"/>
          <w:szCs w:val="18"/>
          <w:lang w:val="en-US"/>
        </w:rPr>
        <w:t>; G</w:t>
      </w:r>
      <w:r>
        <w:rPr>
          <w:sz w:val="18"/>
          <w:szCs w:val="18"/>
          <w:lang w:val="en-US"/>
        </w:rPr>
        <w:t xml:space="preserve">eishecker </w:t>
      </w:r>
      <w:r w:rsidRPr="009471F7">
        <w:rPr>
          <w:sz w:val="18"/>
          <w:szCs w:val="18"/>
          <w:lang w:val="en-US"/>
        </w:rPr>
        <w:t xml:space="preserve">(2006) between Germany and the </w:t>
      </w:r>
      <w:r>
        <w:rPr>
          <w:sz w:val="18"/>
          <w:szCs w:val="18"/>
          <w:lang w:val="en-US"/>
        </w:rPr>
        <w:t>CEEC</w:t>
      </w:r>
      <w:r w:rsidRPr="00276970">
        <w:rPr>
          <w:sz w:val="18"/>
          <w:szCs w:val="18"/>
          <w:lang w:val="en-US"/>
        </w:rPr>
        <w:t>; R</w:t>
      </w:r>
      <w:r>
        <w:rPr>
          <w:sz w:val="18"/>
          <w:szCs w:val="18"/>
          <w:lang w:val="en-US"/>
        </w:rPr>
        <w:t>uane</w:t>
      </w:r>
      <w:r w:rsidRPr="00276970">
        <w:rPr>
          <w:sz w:val="18"/>
          <w:szCs w:val="18"/>
          <w:lang w:val="en-US"/>
        </w:rPr>
        <w:t xml:space="preserve"> </w:t>
      </w:r>
      <w:r>
        <w:rPr>
          <w:sz w:val="18"/>
          <w:szCs w:val="18"/>
          <w:lang w:val="en-US"/>
        </w:rPr>
        <w:t>&amp;</w:t>
      </w:r>
      <w:r w:rsidRPr="00276970">
        <w:rPr>
          <w:sz w:val="18"/>
          <w:szCs w:val="18"/>
          <w:lang w:val="en-US"/>
        </w:rPr>
        <w:t xml:space="preserve"> G</w:t>
      </w:r>
      <w:r>
        <w:rPr>
          <w:sz w:val="18"/>
          <w:szCs w:val="18"/>
          <w:lang w:val="en-US"/>
        </w:rPr>
        <w:t>örg</w:t>
      </w:r>
      <w:r w:rsidRPr="00276970">
        <w:rPr>
          <w:sz w:val="18"/>
          <w:szCs w:val="18"/>
          <w:lang w:val="en-US"/>
        </w:rPr>
        <w:t xml:space="preserve"> (2001), G</w:t>
      </w:r>
      <w:r>
        <w:rPr>
          <w:sz w:val="18"/>
          <w:szCs w:val="18"/>
          <w:lang w:val="en-US"/>
        </w:rPr>
        <w:t>örg</w:t>
      </w:r>
      <w:r w:rsidRPr="00276970">
        <w:rPr>
          <w:sz w:val="18"/>
          <w:szCs w:val="18"/>
          <w:lang w:val="en-US"/>
        </w:rPr>
        <w:t xml:space="preserve"> </w:t>
      </w:r>
      <w:r>
        <w:rPr>
          <w:sz w:val="18"/>
          <w:szCs w:val="18"/>
          <w:lang w:val="en-US"/>
        </w:rPr>
        <w:t>&amp;</w:t>
      </w:r>
      <w:r w:rsidRPr="00276970">
        <w:rPr>
          <w:sz w:val="18"/>
          <w:szCs w:val="18"/>
          <w:lang w:val="en-US"/>
        </w:rPr>
        <w:t xml:space="preserve"> H</w:t>
      </w:r>
      <w:r>
        <w:rPr>
          <w:sz w:val="18"/>
          <w:szCs w:val="18"/>
          <w:lang w:val="en-US"/>
        </w:rPr>
        <w:t>anley</w:t>
      </w:r>
      <w:r w:rsidRPr="00276970">
        <w:rPr>
          <w:sz w:val="18"/>
          <w:szCs w:val="18"/>
          <w:lang w:val="en-US"/>
        </w:rPr>
        <w:t xml:space="preserve"> (2005) and G</w:t>
      </w:r>
      <w:r>
        <w:rPr>
          <w:sz w:val="18"/>
          <w:szCs w:val="18"/>
          <w:lang w:val="en-US"/>
        </w:rPr>
        <w:t>örg</w:t>
      </w:r>
      <w:r w:rsidRPr="00276970">
        <w:rPr>
          <w:sz w:val="18"/>
          <w:szCs w:val="18"/>
          <w:lang w:val="en-US"/>
        </w:rPr>
        <w:t xml:space="preserve"> </w:t>
      </w:r>
      <w:r w:rsidRPr="001B252A">
        <w:rPr>
          <w:sz w:val="18"/>
          <w:szCs w:val="18"/>
          <w:lang w:val="en-US"/>
        </w:rPr>
        <w:t>et al</w:t>
      </w:r>
      <w:r w:rsidRPr="00276970">
        <w:rPr>
          <w:sz w:val="18"/>
          <w:szCs w:val="18"/>
          <w:lang w:val="en-US"/>
        </w:rPr>
        <w:t xml:space="preserve"> (2008) </w:t>
      </w:r>
      <w:r w:rsidRPr="00097828">
        <w:rPr>
          <w:sz w:val="18"/>
          <w:szCs w:val="18"/>
          <w:lang w:val="en-US"/>
        </w:rPr>
        <w:t>for Ireland; G</w:t>
      </w:r>
      <w:r>
        <w:rPr>
          <w:sz w:val="18"/>
          <w:szCs w:val="18"/>
          <w:lang w:val="en-US"/>
        </w:rPr>
        <w:t>irma</w:t>
      </w:r>
      <w:r w:rsidRPr="00097828">
        <w:rPr>
          <w:sz w:val="18"/>
          <w:szCs w:val="18"/>
          <w:lang w:val="en-US"/>
        </w:rPr>
        <w:t xml:space="preserve"> </w:t>
      </w:r>
      <w:r>
        <w:rPr>
          <w:sz w:val="18"/>
          <w:szCs w:val="18"/>
          <w:lang w:val="en-US"/>
        </w:rPr>
        <w:t>&amp;</w:t>
      </w:r>
      <w:r w:rsidRPr="00097828">
        <w:rPr>
          <w:sz w:val="18"/>
          <w:szCs w:val="18"/>
          <w:lang w:val="en-US"/>
        </w:rPr>
        <w:t xml:space="preserve"> G</w:t>
      </w:r>
      <w:r>
        <w:rPr>
          <w:sz w:val="18"/>
          <w:szCs w:val="18"/>
          <w:lang w:val="en-US"/>
        </w:rPr>
        <w:t>örg</w:t>
      </w:r>
      <w:r w:rsidRPr="00097828">
        <w:rPr>
          <w:sz w:val="18"/>
          <w:szCs w:val="18"/>
          <w:lang w:val="en-US"/>
        </w:rPr>
        <w:t xml:space="preserve"> (2004), A</w:t>
      </w:r>
      <w:r>
        <w:rPr>
          <w:sz w:val="18"/>
          <w:szCs w:val="18"/>
          <w:lang w:val="en-US"/>
        </w:rPr>
        <w:t>miti</w:t>
      </w:r>
      <w:r w:rsidRPr="00097828">
        <w:rPr>
          <w:sz w:val="18"/>
          <w:szCs w:val="18"/>
          <w:lang w:val="en-US"/>
        </w:rPr>
        <w:t xml:space="preserve"> </w:t>
      </w:r>
      <w:r>
        <w:rPr>
          <w:sz w:val="18"/>
          <w:szCs w:val="18"/>
          <w:lang w:val="en-US"/>
        </w:rPr>
        <w:t>&amp;</w:t>
      </w:r>
      <w:r w:rsidRPr="00097828">
        <w:rPr>
          <w:sz w:val="18"/>
          <w:szCs w:val="18"/>
          <w:lang w:val="en-US"/>
        </w:rPr>
        <w:t xml:space="preserve"> W</w:t>
      </w:r>
      <w:r>
        <w:rPr>
          <w:sz w:val="18"/>
          <w:szCs w:val="18"/>
          <w:lang w:val="en-US"/>
        </w:rPr>
        <w:t>ei</w:t>
      </w:r>
      <w:r w:rsidRPr="00097828">
        <w:rPr>
          <w:sz w:val="18"/>
          <w:szCs w:val="18"/>
          <w:lang w:val="en-US"/>
        </w:rPr>
        <w:t xml:space="preserve"> (2005) and H</w:t>
      </w:r>
      <w:r>
        <w:rPr>
          <w:sz w:val="18"/>
          <w:szCs w:val="18"/>
          <w:lang w:val="en-US"/>
        </w:rPr>
        <w:t>ijzen</w:t>
      </w:r>
      <w:r w:rsidRPr="00097828">
        <w:rPr>
          <w:sz w:val="18"/>
          <w:szCs w:val="18"/>
          <w:lang w:val="en-US"/>
        </w:rPr>
        <w:t xml:space="preserve"> (2007) for the </w:t>
      </w:r>
      <w:r>
        <w:rPr>
          <w:sz w:val="18"/>
          <w:szCs w:val="18"/>
          <w:lang w:val="en-US"/>
        </w:rPr>
        <w:t>UK</w:t>
      </w:r>
      <w:r w:rsidRPr="000B42A8">
        <w:rPr>
          <w:sz w:val="18"/>
          <w:szCs w:val="18"/>
          <w:lang w:val="en-US"/>
        </w:rPr>
        <w:t>; S</w:t>
      </w:r>
      <w:r>
        <w:rPr>
          <w:sz w:val="18"/>
          <w:szCs w:val="18"/>
          <w:lang w:val="en-US"/>
        </w:rPr>
        <w:t>trauss</w:t>
      </w:r>
      <w:r w:rsidRPr="000B42A8">
        <w:rPr>
          <w:sz w:val="18"/>
          <w:szCs w:val="18"/>
          <w:lang w:val="en-US"/>
        </w:rPr>
        <w:t>-K</w:t>
      </w:r>
      <w:r>
        <w:rPr>
          <w:sz w:val="18"/>
          <w:szCs w:val="18"/>
          <w:lang w:val="en-US"/>
        </w:rPr>
        <w:t>ahn</w:t>
      </w:r>
      <w:r w:rsidRPr="000B42A8">
        <w:rPr>
          <w:sz w:val="18"/>
          <w:szCs w:val="18"/>
          <w:lang w:val="en-US"/>
        </w:rPr>
        <w:t xml:space="preserve"> (2003) for France; E</w:t>
      </w:r>
      <w:r>
        <w:rPr>
          <w:sz w:val="18"/>
          <w:szCs w:val="18"/>
          <w:lang w:val="en-US"/>
        </w:rPr>
        <w:t>gger</w:t>
      </w:r>
      <w:r w:rsidRPr="000B42A8">
        <w:rPr>
          <w:sz w:val="18"/>
          <w:szCs w:val="18"/>
          <w:lang w:val="en-US"/>
        </w:rPr>
        <w:t xml:space="preserve"> </w:t>
      </w:r>
      <w:r w:rsidRPr="001B252A">
        <w:rPr>
          <w:sz w:val="18"/>
          <w:szCs w:val="18"/>
          <w:lang w:val="en-US"/>
        </w:rPr>
        <w:t>et al</w:t>
      </w:r>
      <w:r w:rsidRPr="000B42A8">
        <w:rPr>
          <w:sz w:val="18"/>
          <w:szCs w:val="18"/>
          <w:lang w:val="en-US"/>
        </w:rPr>
        <w:t xml:space="preserve"> (2001) and E</w:t>
      </w:r>
      <w:r>
        <w:rPr>
          <w:sz w:val="18"/>
          <w:szCs w:val="18"/>
          <w:lang w:val="en-US"/>
        </w:rPr>
        <w:t>gger</w:t>
      </w:r>
      <w:r w:rsidRPr="000B42A8">
        <w:rPr>
          <w:sz w:val="18"/>
          <w:szCs w:val="18"/>
          <w:lang w:val="en-US"/>
        </w:rPr>
        <w:t xml:space="preserve"> </w:t>
      </w:r>
      <w:r>
        <w:rPr>
          <w:sz w:val="18"/>
          <w:szCs w:val="18"/>
          <w:lang w:val="en-US"/>
        </w:rPr>
        <w:t xml:space="preserve">&amp; </w:t>
      </w:r>
      <w:r w:rsidRPr="000B42A8">
        <w:rPr>
          <w:sz w:val="18"/>
          <w:szCs w:val="18"/>
          <w:lang w:val="en-US"/>
        </w:rPr>
        <w:t>E</w:t>
      </w:r>
      <w:r>
        <w:rPr>
          <w:sz w:val="18"/>
          <w:szCs w:val="18"/>
          <w:lang w:val="en-US"/>
        </w:rPr>
        <w:t>gger</w:t>
      </w:r>
      <w:r w:rsidRPr="000B42A8">
        <w:rPr>
          <w:sz w:val="18"/>
          <w:szCs w:val="18"/>
          <w:lang w:val="en-US"/>
        </w:rPr>
        <w:t xml:space="preserve"> (2003) </w:t>
      </w:r>
      <w:r w:rsidRPr="00CE372C">
        <w:rPr>
          <w:sz w:val="18"/>
          <w:szCs w:val="18"/>
          <w:lang w:val="en-US"/>
        </w:rPr>
        <w:t xml:space="preserve">between Austria and the </w:t>
      </w:r>
      <w:r>
        <w:rPr>
          <w:sz w:val="18"/>
          <w:szCs w:val="18"/>
          <w:lang w:val="en-US"/>
        </w:rPr>
        <w:t>CEEC</w:t>
      </w:r>
      <w:r w:rsidRPr="00CE372C">
        <w:rPr>
          <w:sz w:val="18"/>
          <w:szCs w:val="18"/>
          <w:lang w:val="en-US"/>
        </w:rPr>
        <w:t>; M</w:t>
      </w:r>
      <w:r>
        <w:rPr>
          <w:sz w:val="18"/>
          <w:szCs w:val="18"/>
          <w:lang w:val="en-US"/>
        </w:rPr>
        <w:t>inondo</w:t>
      </w:r>
      <w:r w:rsidRPr="00CE372C">
        <w:rPr>
          <w:sz w:val="18"/>
          <w:szCs w:val="18"/>
          <w:lang w:val="en-US"/>
        </w:rPr>
        <w:t xml:space="preserve"> </w:t>
      </w:r>
      <w:r>
        <w:rPr>
          <w:sz w:val="18"/>
          <w:szCs w:val="18"/>
          <w:lang w:val="en-US"/>
        </w:rPr>
        <w:t xml:space="preserve">&amp; </w:t>
      </w:r>
      <w:r w:rsidRPr="00CE372C">
        <w:rPr>
          <w:sz w:val="18"/>
          <w:szCs w:val="18"/>
          <w:lang w:val="en-US"/>
        </w:rPr>
        <w:t>R</w:t>
      </w:r>
      <w:r>
        <w:rPr>
          <w:sz w:val="18"/>
          <w:szCs w:val="18"/>
          <w:lang w:val="en-US"/>
        </w:rPr>
        <w:t>ubert</w:t>
      </w:r>
      <w:r w:rsidRPr="00CE372C">
        <w:rPr>
          <w:sz w:val="18"/>
          <w:szCs w:val="18"/>
          <w:lang w:val="en-US"/>
        </w:rPr>
        <w:t xml:space="preserve"> (2002) for </w:t>
      </w:r>
      <w:r w:rsidRPr="00E47338">
        <w:rPr>
          <w:sz w:val="18"/>
          <w:szCs w:val="18"/>
          <w:lang w:val="en-US"/>
        </w:rPr>
        <w:t>Spain; A</w:t>
      </w:r>
      <w:r>
        <w:rPr>
          <w:sz w:val="18"/>
          <w:szCs w:val="18"/>
          <w:lang w:val="en-US"/>
        </w:rPr>
        <w:t xml:space="preserve">mador &amp; </w:t>
      </w:r>
      <w:r w:rsidRPr="00E47338">
        <w:rPr>
          <w:sz w:val="18"/>
          <w:szCs w:val="18"/>
          <w:lang w:val="en-US"/>
        </w:rPr>
        <w:t>C</w:t>
      </w:r>
      <w:r>
        <w:rPr>
          <w:sz w:val="18"/>
          <w:szCs w:val="18"/>
          <w:lang w:val="en-US"/>
        </w:rPr>
        <w:t>abral</w:t>
      </w:r>
      <w:r w:rsidRPr="00E47338">
        <w:rPr>
          <w:sz w:val="18"/>
          <w:szCs w:val="18"/>
          <w:lang w:val="en-US"/>
        </w:rPr>
        <w:t xml:space="preserve"> (2008) for Portugal; G</w:t>
      </w:r>
      <w:r>
        <w:rPr>
          <w:sz w:val="18"/>
          <w:szCs w:val="18"/>
          <w:lang w:val="en-US"/>
        </w:rPr>
        <w:t>örg</w:t>
      </w:r>
      <w:r w:rsidRPr="00E47338">
        <w:rPr>
          <w:sz w:val="18"/>
          <w:szCs w:val="18"/>
          <w:lang w:val="en-US"/>
        </w:rPr>
        <w:t xml:space="preserve"> (2000) </w:t>
      </w:r>
      <w:r>
        <w:rPr>
          <w:sz w:val="18"/>
          <w:szCs w:val="18"/>
          <w:lang w:val="en-US"/>
        </w:rPr>
        <w:t xml:space="preserve">between the </w:t>
      </w:r>
      <w:r w:rsidRPr="00E47338">
        <w:rPr>
          <w:sz w:val="18"/>
          <w:szCs w:val="18"/>
          <w:lang w:val="en-US"/>
        </w:rPr>
        <w:t>EU</w:t>
      </w:r>
      <w:r>
        <w:rPr>
          <w:sz w:val="18"/>
          <w:szCs w:val="18"/>
          <w:lang w:val="en-US"/>
        </w:rPr>
        <w:t xml:space="preserve"> and the </w:t>
      </w:r>
      <w:r w:rsidRPr="00E47338">
        <w:rPr>
          <w:sz w:val="18"/>
          <w:szCs w:val="18"/>
          <w:lang w:val="en-US"/>
        </w:rPr>
        <w:t>US; K</w:t>
      </w:r>
      <w:r>
        <w:rPr>
          <w:sz w:val="18"/>
          <w:szCs w:val="18"/>
          <w:lang w:val="en-US"/>
        </w:rPr>
        <w:t>imura</w:t>
      </w:r>
      <w:r w:rsidRPr="00E47338">
        <w:rPr>
          <w:sz w:val="18"/>
          <w:szCs w:val="18"/>
          <w:lang w:val="en-US"/>
        </w:rPr>
        <w:t xml:space="preserve"> </w:t>
      </w:r>
      <w:r w:rsidRPr="001B252A">
        <w:rPr>
          <w:sz w:val="18"/>
          <w:szCs w:val="18"/>
          <w:lang w:val="en-US"/>
        </w:rPr>
        <w:t>et al</w:t>
      </w:r>
      <w:r w:rsidRPr="00E47338">
        <w:rPr>
          <w:sz w:val="18"/>
          <w:szCs w:val="18"/>
          <w:lang w:val="en-US"/>
        </w:rPr>
        <w:t xml:space="preserve"> (2007) for a comparative analysis between East Asia and Europe; and G</w:t>
      </w:r>
      <w:r>
        <w:rPr>
          <w:sz w:val="18"/>
          <w:szCs w:val="18"/>
          <w:lang w:val="en-US"/>
        </w:rPr>
        <w:t>uerrieri</w:t>
      </w:r>
      <w:r w:rsidRPr="00E47338">
        <w:rPr>
          <w:sz w:val="18"/>
          <w:szCs w:val="18"/>
          <w:lang w:val="en-US"/>
        </w:rPr>
        <w:t xml:space="preserve"> </w:t>
      </w:r>
      <w:r>
        <w:rPr>
          <w:sz w:val="18"/>
          <w:szCs w:val="18"/>
          <w:lang w:val="en-US"/>
        </w:rPr>
        <w:t>&amp;</w:t>
      </w:r>
      <w:r w:rsidRPr="00E47338">
        <w:rPr>
          <w:sz w:val="18"/>
          <w:szCs w:val="18"/>
          <w:lang w:val="en-US"/>
        </w:rPr>
        <w:t xml:space="preserve"> C</w:t>
      </w:r>
      <w:r>
        <w:rPr>
          <w:sz w:val="18"/>
          <w:szCs w:val="18"/>
          <w:lang w:val="en-US"/>
        </w:rPr>
        <w:t>affarelli</w:t>
      </w:r>
      <w:r w:rsidRPr="00E47338">
        <w:rPr>
          <w:sz w:val="18"/>
          <w:szCs w:val="18"/>
          <w:lang w:val="en-US"/>
        </w:rPr>
        <w:t xml:space="preserve"> (2004) for the EuroMed.</w:t>
      </w:r>
    </w:p>
  </w:footnote>
  <w:footnote w:id="12">
    <w:p w:rsidR="0098614F" w:rsidRPr="003A3B50" w:rsidRDefault="0098614F" w:rsidP="006B74F1">
      <w:pPr>
        <w:pStyle w:val="Default"/>
        <w:jc w:val="both"/>
        <w:rPr>
          <w:rFonts w:ascii="Times New Roman" w:hAnsi="Times New Roman" w:cs="Times New Roman"/>
          <w:sz w:val="18"/>
          <w:szCs w:val="18"/>
          <w:lang w:val="en-US"/>
        </w:rPr>
      </w:pPr>
      <w:r w:rsidRPr="003A3B50">
        <w:rPr>
          <w:rStyle w:val="Refdenotaderodap"/>
          <w:rFonts w:ascii="Times New Roman" w:hAnsi="Times New Roman" w:cs="Times New Roman"/>
          <w:sz w:val="18"/>
          <w:szCs w:val="18"/>
        </w:rPr>
        <w:footnoteRef/>
      </w:r>
      <w:r w:rsidRPr="003A3B50">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Several other studies followed, namely: (i) hard disk drives industry in Thailand (Gourevitch </w:t>
      </w:r>
      <w:r w:rsidRPr="00AD6F5B">
        <w:rPr>
          <w:rFonts w:ascii="Times New Roman" w:hAnsi="Times New Roman" w:cs="Times New Roman"/>
          <w:sz w:val="18"/>
          <w:szCs w:val="18"/>
          <w:lang w:val="en-US"/>
        </w:rPr>
        <w:t>et al</w:t>
      </w:r>
      <w:r>
        <w:rPr>
          <w:rFonts w:ascii="Times New Roman" w:hAnsi="Times New Roman" w:cs="Times New Roman"/>
          <w:sz w:val="18"/>
          <w:szCs w:val="18"/>
          <w:lang w:val="en-US"/>
        </w:rPr>
        <w:t xml:space="preserve">, 2000); </w:t>
      </w:r>
      <w:r>
        <w:rPr>
          <w:rFonts w:ascii="Times New Roman" w:hAnsi="Times New Roman" w:cs="Times New Roman"/>
          <w:sz w:val="18"/>
          <w:szCs w:val="18"/>
          <w:lang w:val="en-US"/>
        </w:rPr>
        <w:br/>
        <w:t>(ii) Porsche Cayenne (Dudenhoffer, 2005); (iii) Apple’s iPod (</w:t>
      </w:r>
      <w:r w:rsidRPr="003A3B50">
        <w:rPr>
          <w:rFonts w:ascii="Times New Roman" w:hAnsi="Times New Roman" w:cs="Times New Roman"/>
          <w:sz w:val="18"/>
          <w:szCs w:val="18"/>
          <w:lang w:val="en-US"/>
        </w:rPr>
        <w:t>D</w:t>
      </w:r>
      <w:r>
        <w:rPr>
          <w:rFonts w:ascii="Times New Roman" w:hAnsi="Times New Roman" w:cs="Times New Roman"/>
          <w:sz w:val="18"/>
          <w:szCs w:val="18"/>
          <w:lang w:val="en-US"/>
        </w:rPr>
        <w:t>edrick</w:t>
      </w:r>
      <w:r w:rsidRPr="003A3B50">
        <w:rPr>
          <w:rFonts w:ascii="Times New Roman" w:hAnsi="Times New Roman" w:cs="Times New Roman"/>
          <w:sz w:val="18"/>
          <w:szCs w:val="18"/>
          <w:lang w:val="en-US"/>
        </w:rPr>
        <w:t xml:space="preserve"> </w:t>
      </w:r>
      <w:r w:rsidRPr="007E61E2">
        <w:rPr>
          <w:rFonts w:ascii="Times New Roman" w:hAnsi="Times New Roman" w:cs="Times New Roman"/>
          <w:sz w:val="18"/>
          <w:szCs w:val="18"/>
          <w:lang w:val="en-US"/>
        </w:rPr>
        <w:t>et al</w:t>
      </w:r>
      <w:r>
        <w:rPr>
          <w:rFonts w:ascii="Times New Roman" w:hAnsi="Times New Roman" w:cs="Times New Roman"/>
          <w:sz w:val="18"/>
          <w:szCs w:val="18"/>
          <w:lang w:val="en-US"/>
        </w:rPr>
        <w:t xml:space="preserve">, </w:t>
      </w:r>
      <w:r w:rsidRPr="003A3B50">
        <w:rPr>
          <w:rFonts w:ascii="Times New Roman" w:hAnsi="Times New Roman" w:cs="Times New Roman"/>
          <w:sz w:val="18"/>
          <w:szCs w:val="18"/>
          <w:lang w:val="en-US"/>
        </w:rPr>
        <w:t>201</w:t>
      </w:r>
      <w:r>
        <w:rPr>
          <w:rFonts w:ascii="Times New Roman" w:hAnsi="Times New Roman" w:cs="Times New Roman"/>
          <w:sz w:val="18"/>
          <w:szCs w:val="18"/>
          <w:lang w:val="en-US"/>
        </w:rPr>
        <w:t xml:space="preserve">0), concluding that USD </w:t>
      </w:r>
      <w:r w:rsidRPr="006335DD">
        <w:rPr>
          <w:rFonts w:ascii="Times New Roman" w:hAnsi="Times New Roman" w:cs="Times New Roman"/>
          <w:sz w:val="18"/>
          <w:szCs w:val="18"/>
          <w:lang w:val="en-US"/>
        </w:rPr>
        <w:t xml:space="preserve">163 of the iPod’s </w:t>
      </w:r>
      <w:r>
        <w:rPr>
          <w:rFonts w:ascii="Times New Roman" w:hAnsi="Times New Roman" w:cs="Times New Roman"/>
          <w:sz w:val="18"/>
          <w:szCs w:val="18"/>
          <w:lang w:val="en-US"/>
        </w:rPr>
        <w:t xml:space="preserve">USD </w:t>
      </w:r>
      <w:r w:rsidRPr="006335DD">
        <w:rPr>
          <w:rFonts w:ascii="Times New Roman" w:hAnsi="Times New Roman" w:cs="Times New Roman"/>
          <w:sz w:val="18"/>
          <w:szCs w:val="18"/>
          <w:lang w:val="en-US"/>
        </w:rPr>
        <w:t xml:space="preserve">299 retail value was captured by </w:t>
      </w:r>
      <w:r>
        <w:rPr>
          <w:rFonts w:ascii="Times New Roman" w:hAnsi="Times New Roman" w:cs="Times New Roman"/>
          <w:sz w:val="18"/>
          <w:szCs w:val="18"/>
          <w:lang w:val="en-US"/>
        </w:rPr>
        <w:t xml:space="preserve">US </w:t>
      </w:r>
      <w:r w:rsidRPr="006335DD">
        <w:rPr>
          <w:rFonts w:ascii="Times New Roman" w:hAnsi="Times New Roman" w:cs="Times New Roman"/>
          <w:sz w:val="18"/>
          <w:szCs w:val="18"/>
          <w:lang w:val="en-US"/>
        </w:rPr>
        <w:t>companies (</w:t>
      </w:r>
      <w:r>
        <w:rPr>
          <w:rFonts w:ascii="Times New Roman" w:hAnsi="Times New Roman" w:cs="Times New Roman"/>
          <w:sz w:val="18"/>
          <w:szCs w:val="18"/>
          <w:lang w:val="en-US"/>
        </w:rPr>
        <w:t xml:space="preserve">USD </w:t>
      </w:r>
      <w:r w:rsidRPr="006335DD">
        <w:rPr>
          <w:rFonts w:ascii="Times New Roman" w:hAnsi="Times New Roman" w:cs="Times New Roman"/>
          <w:sz w:val="18"/>
          <w:szCs w:val="18"/>
          <w:lang w:val="en-US"/>
        </w:rPr>
        <w:t xml:space="preserve">80 </w:t>
      </w:r>
      <w:r>
        <w:rPr>
          <w:rFonts w:ascii="Times New Roman" w:hAnsi="Times New Roman" w:cs="Times New Roman"/>
          <w:sz w:val="18"/>
          <w:szCs w:val="18"/>
          <w:lang w:val="en-US"/>
        </w:rPr>
        <w:t>by</w:t>
      </w:r>
      <w:r w:rsidRPr="006335DD">
        <w:rPr>
          <w:rFonts w:ascii="Times New Roman" w:hAnsi="Times New Roman" w:cs="Times New Roman"/>
          <w:sz w:val="18"/>
          <w:szCs w:val="18"/>
          <w:lang w:val="en-US"/>
        </w:rPr>
        <w:t xml:space="preserve"> Apple</w:t>
      </w:r>
      <w:r>
        <w:rPr>
          <w:rFonts w:ascii="Times New Roman" w:hAnsi="Times New Roman" w:cs="Times New Roman"/>
          <w:sz w:val="18"/>
          <w:szCs w:val="18"/>
          <w:lang w:val="en-US"/>
        </w:rPr>
        <w:t xml:space="preserve">, USD </w:t>
      </w:r>
      <w:r w:rsidRPr="006335DD">
        <w:rPr>
          <w:rFonts w:ascii="Times New Roman" w:hAnsi="Times New Roman" w:cs="Times New Roman"/>
          <w:sz w:val="18"/>
          <w:szCs w:val="18"/>
          <w:lang w:val="en-US"/>
        </w:rPr>
        <w:t xml:space="preserve">75 </w:t>
      </w:r>
      <w:r>
        <w:rPr>
          <w:rFonts w:ascii="Times New Roman" w:hAnsi="Times New Roman" w:cs="Times New Roman"/>
          <w:sz w:val="18"/>
          <w:szCs w:val="18"/>
          <w:lang w:val="en-US"/>
        </w:rPr>
        <w:t xml:space="preserve">by </w:t>
      </w:r>
      <w:r w:rsidRPr="006335DD">
        <w:rPr>
          <w:rFonts w:ascii="Times New Roman" w:hAnsi="Times New Roman" w:cs="Times New Roman"/>
          <w:sz w:val="18"/>
          <w:szCs w:val="18"/>
          <w:lang w:val="en-US"/>
        </w:rPr>
        <w:t>distribution and retail costs</w:t>
      </w:r>
      <w:r>
        <w:rPr>
          <w:rFonts w:ascii="Times New Roman" w:hAnsi="Times New Roman" w:cs="Times New Roman"/>
          <w:sz w:val="18"/>
          <w:szCs w:val="18"/>
          <w:lang w:val="en-US"/>
        </w:rPr>
        <w:t>,</w:t>
      </w:r>
      <w:r w:rsidRPr="006335DD">
        <w:rPr>
          <w:rFonts w:ascii="Times New Roman" w:hAnsi="Times New Roman" w:cs="Times New Roman"/>
          <w:sz w:val="18"/>
          <w:szCs w:val="18"/>
          <w:lang w:val="en-US"/>
        </w:rPr>
        <w:t xml:space="preserve"> and </w:t>
      </w:r>
      <w:r>
        <w:rPr>
          <w:rFonts w:ascii="Times New Roman" w:hAnsi="Times New Roman" w:cs="Times New Roman"/>
          <w:sz w:val="18"/>
          <w:szCs w:val="18"/>
          <w:lang w:val="en-US"/>
        </w:rPr>
        <w:t xml:space="preserve">USD </w:t>
      </w:r>
      <w:r w:rsidRPr="006335DD">
        <w:rPr>
          <w:rFonts w:ascii="Times New Roman" w:hAnsi="Times New Roman" w:cs="Times New Roman"/>
          <w:sz w:val="18"/>
          <w:szCs w:val="18"/>
          <w:lang w:val="en-US"/>
        </w:rPr>
        <w:t xml:space="preserve">8 </w:t>
      </w:r>
      <w:r>
        <w:rPr>
          <w:rFonts w:ascii="Times New Roman" w:hAnsi="Times New Roman" w:cs="Times New Roman"/>
          <w:sz w:val="18"/>
          <w:szCs w:val="18"/>
          <w:lang w:val="en-US"/>
        </w:rPr>
        <w:t xml:space="preserve">by US </w:t>
      </w:r>
      <w:r w:rsidRPr="006335DD">
        <w:rPr>
          <w:rFonts w:ascii="Times New Roman" w:hAnsi="Times New Roman" w:cs="Times New Roman"/>
          <w:sz w:val="18"/>
          <w:szCs w:val="18"/>
          <w:lang w:val="en-US"/>
        </w:rPr>
        <w:t>component makers)</w:t>
      </w:r>
      <w:r>
        <w:rPr>
          <w:rFonts w:ascii="Times New Roman" w:hAnsi="Times New Roman" w:cs="Times New Roman"/>
          <w:sz w:val="18"/>
          <w:szCs w:val="18"/>
          <w:lang w:val="en-US"/>
        </w:rPr>
        <w:t>, while</w:t>
      </w:r>
      <w:r w:rsidRPr="006335DD">
        <w:rPr>
          <w:rFonts w:ascii="Times New Roman" w:hAnsi="Times New Roman" w:cs="Times New Roman"/>
          <w:sz w:val="18"/>
          <w:szCs w:val="18"/>
          <w:lang w:val="en-US"/>
        </w:rPr>
        <w:t xml:space="preserve"> Japan</w:t>
      </w:r>
      <w:r>
        <w:rPr>
          <w:rFonts w:ascii="Times New Roman" w:hAnsi="Times New Roman" w:cs="Times New Roman"/>
          <w:sz w:val="18"/>
          <w:szCs w:val="18"/>
          <w:lang w:val="en-US"/>
        </w:rPr>
        <w:t xml:space="preserve">ese, PRC and South Korean firms </w:t>
      </w:r>
      <w:r w:rsidRPr="006335DD">
        <w:rPr>
          <w:rFonts w:ascii="Times New Roman" w:hAnsi="Times New Roman" w:cs="Times New Roman"/>
          <w:sz w:val="18"/>
          <w:szCs w:val="18"/>
          <w:lang w:val="en-US"/>
        </w:rPr>
        <w:t xml:space="preserve">contributed </w:t>
      </w:r>
      <w:r>
        <w:rPr>
          <w:rFonts w:ascii="Times New Roman" w:hAnsi="Times New Roman" w:cs="Times New Roman"/>
          <w:sz w:val="18"/>
          <w:szCs w:val="18"/>
          <w:lang w:val="en-US"/>
        </w:rPr>
        <w:t xml:space="preserve">with around USD </w:t>
      </w:r>
      <w:r w:rsidRPr="006335DD">
        <w:rPr>
          <w:rFonts w:ascii="Times New Roman" w:hAnsi="Times New Roman" w:cs="Times New Roman"/>
          <w:sz w:val="18"/>
          <w:szCs w:val="18"/>
          <w:lang w:val="en-US"/>
        </w:rPr>
        <w:t>26</w:t>
      </w:r>
      <w:r>
        <w:rPr>
          <w:rFonts w:ascii="Times New Roman" w:hAnsi="Times New Roman" w:cs="Times New Roman"/>
          <w:sz w:val="18"/>
          <w:szCs w:val="18"/>
          <w:lang w:val="en-US"/>
        </w:rPr>
        <w:t xml:space="preserve">, USD </w:t>
      </w:r>
      <w:r w:rsidRPr="006335DD">
        <w:rPr>
          <w:rFonts w:ascii="Times New Roman" w:hAnsi="Times New Roman" w:cs="Times New Roman"/>
          <w:sz w:val="18"/>
          <w:szCs w:val="18"/>
          <w:lang w:val="en-US"/>
        </w:rPr>
        <w:t xml:space="preserve">4 </w:t>
      </w:r>
      <w:r>
        <w:rPr>
          <w:rFonts w:ascii="Times New Roman" w:hAnsi="Times New Roman" w:cs="Times New Roman"/>
          <w:sz w:val="18"/>
          <w:szCs w:val="18"/>
          <w:lang w:val="en-US"/>
        </w:rPr>
        <w:t xml:space="preserve">and USD 1, respectively (see also Linden </w:t>
      </w:r>
      <w:r w:rsidRPr="007E61E2">
        <w:rPr>
          <w:rFonts w:ascii="Times New Roman" w:hAnsi="Times New Roman" w:cs="Times New Roman"/>
          <w:sz w:val="18"/>
          <w:szCs w:val="18"/>
          <w:lang w:val="en-US"/>
        </w:rPr>
        <w:t>et al</w:t>
      </w:r>
      <w:r>
        <w:rPr>
          <w:rFonts w:ascii="Times New Roman" w:hAnsi="Times New Roman" w:cs="Times New Roman"/>
          <w:sz w:val="18"/>
          <w:szCs w:val="18"/>
          <w:lang w:val="en-US"/>
        </w:rPr>
        <w:t>, 2009); (iv) personal computer notebooks (</w:t>
      </w:r>
      <w:r w:rsidRPr="003A3B50">
        <w:rPr>
          <w:rFonts w:ascii="Times New Roman" w:hAnsi="Times New Roman" w:cs="Times New Roman"/>
          <w:sz w:val="18"/>
          <w:szCs w:val="18"/>
          <w:lang w:val="en-US"/>
        </w:rPr>
        <w:t>D</w:t>
      </w:r>
      <w:r>
        <w:rPr>
          <w:rFonts w:ascii="Times New Roman" w:hAnsi="Times New Roman" w:cs="Times New Roman"/>
          <w:sz w:val="18"/>
          <w:szCs w:val="18"/>
          <w:lang w:val="en-US"/>
        </w:rPr>
        <w:t>edrick</w:t>
      </w:r>
      <w:r w:rsidRPr="003A3B50">
        <w:rPr>
          <w:rFonts w:ascii="Times New Roman" w:hAnsi="Times New Roman" w:cs="Times New Roman"/>
          <w:sz w:val="18"/>
          <w:szCs w:val="18"/>
          <w:lang w:val="en-US"/>
        </w:rPr>
        <w:t xml:space="preserve"> </w:t>
      </w:r>
      <w:r w:rsidRPr="007E61E2">
        <w:rPr>
          <w:rFonts w:ascii="Times New Roman" w:hAnsi="Times New Roman" w:cs="Times New Roman"/>
          <w:sz w:val="18"/>
          <w:szCs w:val="18"/>
          <w:lang w:val="en-US"/>
        </w:rPr>
        <w:t>et al</w:t>
      </w:r>
      <w:r>
        <w:rPr>
          <w:rFonts w:ascii="Times New Roman" w:hAnsi="Times New Roman" w:cs="Times New Roman"/>
          <w:sz w:val="18"/>
          <w:szCs w:val="18"/>
          <w:lang w:val="en-US"/>
        </w:rPr>
        <w:t xml:space="preserve">, </w:t>
      </w:r>
      <w:r w:rsidRPr="003A3B50">
        <w:rPr>
          <w:rFonts w:ascii="Times New Roman" w:hAnsi="Times New Roman" w:cs="Times New Roman"/>
          <w:sz w:val="18"/>
          <w:szCs w:val="18"/>
          <w:lang w:val="en-US"/>
        </w:rPr>
        <w:t>201</w:t>
      </w:r>
      <w:r>
        <w:rPr>
          <w:rFonts w:ascii="Times New Roman" w:hAnsi="Times New Roman" w:cs="Times New Roman"/>
          <w:sz w:val="18"/>
          <w:szCs w:val="18"/>
          <w:lang w:val="en-US"/>
        </w:rPr>
        <w:t xml:space="preserve">0); </w:t>
      </w:r>
      <w:r w:rsidRPr="006335DD">
        <w:rPr>
          <w:rFonts w:ascii="Times New Roman" w:hAnsi="Times New Roman" w:cs="Times New Roman"/>
          <w:sz w:val="18"/>
          <w:szCs w:val="18"/>
          <w:lang w:val="en-US"/>
        </w:rPr>
        <w:t>(</w:t>
      </w:r>
      <w:r>
        <w:rPr>
          <w:rFonts w:ascii="Times New Roman" w:hAnsi="Times New Roman" w:cs="Times New Roman"/>
          <w:sz w:val="18"/>
          <w:szCs w:val="18"/>
          <w:lang w:val="en-US"/>
        </w:rPr>
        <w:t>v</w:t>
      </w:r>
      <w:r w:rsidRPr="006335DD">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apparel (Gereffi &amp; Frederick, 2010); (vi) the Boeing 787 Dreamliner (Meng &amp; Mirodout, 2011); </w:t>
      </w:r>
      <w:r>
        <w:rPr>
          <w:rFonts w:ascii="Times New Roman" w:hAnsi="Times New Roman" w:cs="Times New Roman"/>
          <w:sz w:val="18"/>
          <w:szCs w:val="18"/>
          <w:lang w:val="en-US"/>
        </w:rPr>
        <w:br/>
        <w:t>(vii) Nokia’s N95 smart</w:t>
      </w:r>
      <w:r w:rsidRPr="003A3B50">
        <w:rPr>
          <w:rFonts w:ascii="Times New Roman" w:hAnsi="Times New Roman" w:cs="Times New Roman"/>
          <w:sz w:val="18"/>
          <w:szCs w:val="18"/>
          <w:lang w:val="en-US"/>
        </w:rPr>
        <w:t xml:space="preserve">phone </w:t>
      </w:r>
      <w:r>
        <w:rPr>
          <w:rFonts w:ascii="Times New Roman" w:hAnsi="Times New Roman" w:cs="Times New Roman"/>
          <w:sz w:val="18"/>
          <w:szCs w:val="18"/>
          <w:lang w:val="en-US"/>
        </w:rPr>
        <w:t>(</w:t>
      </w:r>
      <w:r w:rsidRPr="003A3B50">
        <w:rPr>
          <w:rFonts w:ascii="Times New Roman" w:hAnsi="Times New Roman" w:cs="Times New Roman"/>
          <w:sz w:val="18"/>
          <w:szCs w:val="18"/>
          <w:lang w:val="en-US" w:eastAsia="en-US"/>
        </w:rPr>
        <w:t>A</w:t>
      </w:r>
      <w:r>
        <w:rPr>
          <w:rFonts w:ascii="Times New Roman" w:hAnsi="Times New Roman" w:cs="Times New Roman"/>
          <w:sz w:val="18"/>
          <w:szCs w:val="18"/>
          <w:lang w:val="en-US" w:eastAsia="en-US"/>
        </w:rPr>
        <w:t>li</w:t>
      </w:r>
      <w:r w:rsidRPr="003A3B50">
        <w:rPr>
          <w:rFonts w:ascii="Times New Roman" w:hAnsi="Times New Roman" w:cs="Times New Roman"/>
          <w:sz w:val="18"/>
          <w:szCs w:val="18"/>
          <w:lang w:val="en-US" w:eastAsia="en-US"/>
        </w:rPr>
        <w:t>-Y</w:t>
      </w:r>
      <w:r>
        <w:rPr>
          <w:rFonts w:ascii="Times New Roman" w:hAnsi="Times New Roman" w:cs="Times New Roman"/>
          <w:sz w:val="18"/>
          <w:szCs w:val="18"/>
          <w:lang w:val="en-US" w:eastAsia="en-US"/>
        </w:rPr>
        <w:t>rkkö</w:t>
      </w:r>
      <w:r w:rsidRPr="003A3B50">
        <w:rPr>
          <w:rFonts w:ascii="Times New Roman" w:hAnsi="Times New Roman" w:cs="Times New Roman"/>
          <w:sz w:val="18"/>
          <w:szCs w:val="18"/>
          <w:lang w:val="en-US" w:eastAsia="en-US"/>
        </w:rPr>
        <w:t xml:space="preserve"> </w:t>
      </w:r>
      <w:r w:rsidRPr="00994C52">
        <w:rPr>
          <w:rFonts w:ascii="Times New Roman" w:hAnsi="Times New Roman" w:cs="Times New Roman"/>
          <w:sz w:val="18"/>
          <w:szCs w:val="18"/>
          <w:lang w:val="en-US" w:eastAsia="en-US"/>
        </w:rPr>
        <w:t>et al</w:t>
      </w:r>
      <w:r>
        <w:rPr>
          <w:rFonts w:ascii="Times New Roman" w:hAnsi="Times New Roman" w:cs="Times New Roman"/>
          <w:sz w:val="18"/>
          <w:szCs w:val="18"/>
          <w:lang w:val="en-US" w:eastAsia="en-US"/>
        </w:rPr>
        <w:t xml:space="preserve">, </w:t>
      </w:r>
      <w:r w:rsidRPr="003A3B50">
        <w:rPr>
          <w:rFonts w:ascii="Times New Roman" w:hAnsi="Times New Roman" w:cs="Times New Roman"/>
          <w:sz w:val="18"/>
          <w:szCs w:val="18"/>
          <w:lang w:val="en-US" w:eastAsia="en-US"/>
        </w:rPr>
        <w:t>2011)</w:t>
      </w:r>
      <w:r w:rsidRPr="003A3B50">
        <w:rPr>
          <w:rFonts w:ascii="Times New Roman" w:hAnsi="Times New Roman" w:cs="Times New Roman"/>
          <w:sz w:val="18"/>
          <w:szCs w:val="18"/>
          <w:lang w:val="en-US"/>
        </w:rPr>
        <w:t xml:space="preserve">, concluding </w:t>
      </w:r>
      <w:r>
        <w:rPr>
          <w:rFonts w:ascii="Times New Roman" w:hAnsi="Times New Roman" w:cs="Times New Roman"/>
          <w:sz w:val="18"/>
          <w:szCs w:val="18"/>
          <w:lang w:val="en-US"/>
        </w:rPr>
        <w:t xml:space="preserve">that </w:t>
      </w:r>
      <w:r w:rsidRPr="003A3B50">
        <w:rPr>
          <w:rFonts w:ascii="Times New Roman" w:hAnsi="Times New Roman" w:cs="Times New Roman"/>
          <w:sz w:val="18"/>
          <w:szCs w:val="18"/>
          <w:lang w:val="en-US"/>
        </w:rPr>
        <w:t>54% of its value</w:t>
      </w:r>
      <w:r>
        <w:rPr>
          <w:rFonts w:ascii="Times New Roman" w:hAnsi="Times New Roman" w:cs="Times New Roman"/>
          <w:sz w:val="18"/>
          <w:szCs w:val="18"/>
          <w:lang w:val="en-US"/>
        </w:rPr>
        <w:t>-</w:t>
      </w:r>
      <w:r w:rsidRPr="003A3B50">
        <w:rPr>
          <w:rFonts w:ascii="Times New Roman" w:hAnsi="Times New Roman" w:cs="Times New Roman"/>
          <w:sz w:val="18"/>
          <w:szCs w:val="18"/>
          <w:lang w:val="en-US"/>
        </w:rPr>
        <w:t xml:space="preserve">added was captured by </w:t>
      </w:r>
      <w:r>
        <w:rPr>
          <w:rFonts w:ascii="Times New Roman" w:hAnsi="Times New Roman" w:cs="Times New Roman"/>
          <w:sz w:val="18"/>
          <w:szCs w:val="18"/>
          <w:lang w:val="en-US"/>
        </w:rPr>
        <w:t xml:space="preserve">EU countries; (viii) Apple’s iPad (Linden </w:t>
      </w:r>
      <w:r w:rsidRPr="007E61E2">
        <w:rPr>
          <w:rFonts w:ascii="Times New Roman" w:hAnsi="Times New Roman" w:cs="Times New Roman"/>
          <w:sz w:val="18"/>
          <w:szCs w:val="18"/>
          <w:lang w:val="en-US"/>
        </w:rPr>
        <w:t>et al</w:t>
      </w:r>
      <w:r>
        <w:rPr>
          <w:rFonts w:ascii="Times New Roman" w:hAnsi="Times New Roman" w:cs="Times New Roman"/>
          <w:sz w:val="18"/>
          <w:szCs w:val="18"/>
          <w:lang w:val="en-US"/>
        </w:rPr>
        <w:t xml:space="preserve">, 2011); (ix) Apple’s iPhone 4 (OECD &amp; WTO, 2012), concluding that, of its USD 188 factory price in the PRC, USD 80, USD 23, USD 21 and USD 16 corresponded to value-added in South Korea, US, Taiwan and Germany, respectively, while less than USD 10 in the PRC (see also Linden </w:t>
      </w:r>
      <w:r w:rsidRPr="007E61E2">
        <w:rPr>
          <w:rFonts w:ascii="Times New Roman" w:hAnsi="Times New Roman" w:cs="Times New Roman"/>
          <w:sz w:val="18"/>
          <w:szCs w:val="18"/>
          <w:lang w:val="en-US"/>
        </w:rPr>
        <w:t>et al</w:t>
      </w:r>
      <w:r>
        <w:rPr>
          <w:rFonts w:ascii="Times New Roman" w:hAnsi="Times New Roman" w:cs="Times New Roman"/>
          <w:sz w:val="18"/>
          <w:szCs w:val="18"/>
          <w:lang w:val="en-US"/>
        </w:rPr>
        <w:t xml:space="preserve">, 2011); </w:t>
      </w:r>
      <w:r>
        <w:rPr>
          <w:rFonts w:ascii="Times New Roman" w:hAnsi="Times New Roman" w:cs="Times New Roman"/>
          <w:sz w:val="18"/>
          <w:szCs w:val="18"/>
          <w:lang w:val="en-US"/>
        </w:rPr>
        <w:br/>
        <w:t xml:space="preserve">(x) the automotive industry in Thailand (UNCTAD, 2013, pp. 137-139); and (ix) the Nutella GVC (Mirodout &amp; De Backer, 2014). See also </w:t>
      </w:r>
      <w:hyperlink r:id="rId1" w:history="1">
        <w:r w:rsidRPr="001824F9">
          <w:rPr>
            <w:rStyle w:val="Hiperligao"/>
            <w:rFonts w:ascii="Times New Roman" w:hAnsi="Times New Roman" w:cs="Times New Roman"/>
            <w:sz w:val="18"/>
            <w:szCs w:val="18"/>
            <w:lang w:val="en-US"/>
          </w:rPr>
          <w:t>www.globalvaluechains.org</w:t>
        </w:r>
      </w:hyperlink>
      <w:r>
        <w:rPr>
          <w:rFonts w:ascii="Times New Roman" w:hAnsi="Times New Roman" w:cs="Times New Roman"/>
          <w:sz w:val="18"/>
          <w:szCs w:val="18"/>
          <w:lang w:val="en-US"/>
        </w:rPr>
        <w:t xml:space="preserve"> for an exhaustive list of studies carried out by researchers participating in the GVC-research initiative.</w:t>
      </w:r>
    </w:p>
  </w:footnote>
  <w:footnote w:id="13">
    <w:p w:rsidR="0098614F" w:rsidRPr="003A3B50" w:rsidRDefault="0098614F" w:rsidP="00393BCB">
      <w:pPr>
        <w:pStyle w:val="Textodenotaderodap"/>
        <w:jc w:val="both"/>
        <w:rPr>
          <w:sz w:val="18"/>
          <w:szCs w:val="18"/>
        </w:rPr>
      </w:pPr>
      <w:r w:rsidRPr="003A3B50">
        <w:rPr>
          <w:rStyle w:val="Refdenotaderodap"/>
          <w:sz w:val="18"/>
          <w:szCs w:val="18"/>
        </w:rPr>
        <w:footnoteRef/>
      </w:r>
      <w:r w:rsidRPr="003A3B50">
        <w:rPr>
          <w:sz w:val="18"/>
          <w:szCs w:val="18"/>
        </w:rPr>
        <w:t xml:space="preserve"> The study shows that, from the USD 187.51 production cost of an iPhone, USD 80.05 go to South Korea, </w:t>
      </w:r>
      <w:r>
        <w:rPr>
          <w:sz w:val="18"/>
          <w:szCs w:val="18"/>
        </w:rPr>
        <w:br/>
      </w:r>
      <w:r w:rsidRPr="003A3B50">
        <w:rPr>
          <w:sz w:val="18"/>
          <w:szCs w:val="18"/>
        </w:rPr>
        <w:t>USD 22.88 to the US, USD 20.75 to Taiwan, USD 16.08 to Germany</w:t>
      </w:r>
      <w:r>
        <w:rPr>
          <w:sz w:val="18"/>
          <w:szCs w:val="18"/>
        </w:rPr>
        <w:t>,</w:t>
      </w:r>
      <w:r w:rsidRPr="003A3B50">
        <w:rPr>
          <w:sz w:val="18"/>
          <w:szCs w:val="18"/>
        </w:rPr>
        <w:t xml:space="preserve"> and USD 47.75 to other countries (including Japan and </w:t>
      </w:r>
      <w:r>
        <w:rPr>
          <w:sz w:val="18"/>
          <w:szCs w:val="18"/>
        </w:rPr>
        <w:t>the PRC</w:t>
      </w:r>
      <w:r w:rsidRPr="003A3B50">
        <w:rPr>
          <w:sz w:val="18"/>
          <w:szCs w:val="18"/>
        </w:rPr>
        <w:t>).</w:t>
      </w:r>
    </w:p>
  </w:footnote>
  <w:footnote w:id="14">
    <w:p w:rsidR="0098614F" w:rsidRPr="003A3B50" w:rsidRDefault="0098614F" w:rsidP="00B13A40">
      <w:pPr>
        <w:pStyle w:val="Textodenotaderodap"/>
        <w:jc w:val="both"/>
        <w:rPr>
          <w:sz w:val="18"/>
          <w:szCs w:val="18"/>
          <w:lang w:val="en-US"/>
        </w:rPr>
      </w:pPr>
      <w:r w:rsidRPr="003A3B50">
        <w:rPr>
          <w:rStyle w:val="Refdenotaderodap"/>
          <w:sz w:val="18"/>
          <w:szCs w:val="18"/>
        </w:rPr>
        <w:footnoteRef/>
      </w:r>
      <w:r w:rsidRPr="003A3B50">
        <w:rPr>
          <w:sz w:val="18"/>
          <w:szCs w:val="18"/>
          <w:lang w:val="en-US"/>
        </w:rPr>
        <w:t xml:space="preserve"> </w:t>
      </w:r>
      <w:r>
        <w:rPr>
          <w:sz w:val="18"/>
          <w:szCs w:val="18"/>
          <w:lang w:val="en-US"/>
        </w:rPr>
        <w:t xml:space="preserve">Main databases include: </w:t>
      </w:r>
      <w:r w:rsidRPr="00BA1F40">
        <w:rPr>
          <w:sz w:val="18"/>
          <w:szCs w:val="18"/>
          <w:lang w:val="en-US"/>
        </w:rPr>
        <w:t>Eurostat’s Comext, for the EU</w:t>
      </w:r>
      <w:r>
        <w:rPr>
          <w:sz w:val="18"/>
          <w:szCs w:val="18"/>
          <w:lang w:val="en-US"/>
        </w:rPr>
        <w:t>; United Nations (</w:t>
      </w:r>
      <w:r w:rsidRPr="002E313D">
        <w:rPr>
          <w:sz w:val="18"/>
          <w:szCs w:val="18"/>
          <w:lang w:val="en-US"/>
        </w:rPr>
        <w:t>UN</w:t>
      </w:r>
      <w:r>
        <w:rPr>
          <w:sz w:val="18"/>
          <w:szCs w:val="18"/>
          <w:lang w:val="en-US"/>
        </w:rPr>
        <w:t>)</w:t>
      </w:r>
      <w:r w:rsidRPr="002E313D">
        <w:rPr>
          <w:sz w:val="18"/>
          <w:szCs w:val="18"/>
          <w:lang w:val="en-US"/>
        </w:rPr>
        <w:t>’s Comtrade</w:t>
      </w:r>
      <w:r>
        <w:rPr>
          <w:sz w:val="18"/>
          <w:szCs w:val="18"/>
          <w:lang w:val="en-US"/>
        </w:rPr>
        <w:t>;</w:t>
      </w:r>
      <w:r w:rsidRPr="002E313D">
        <w:rPr>
          <w:sz w:val="18"/>
          <w:szCs w:val="18"/>
          <w:lang w:val="en-US"/>
        </w:rPr>
        <w:t xml:space="preserve"> and CEPII’s CHELEM and BACI</w:t>
      </w:r>
      <w:r>
        <w:rPr>
          <w:sz w:val="18"/>
          <w:szCs w:val="18"/>
          <w:lang w:val="en-US"/>
        </w:rPr>
        <w:t xml:space="preserve">, </w:t>
      </w:r>
      <w:r w:rsidRPr="002E313D">
        <w:rPr>
          <w:sz w:val="18"/>
          <w:szCs w:val="18"/>
          <w:lang w:val="en-US"/>
        </w:rPr>
        <w:t>for world flows</w:t>
      </w:r>
      <w:r>
        <w:rPr>
          <w:sz w:val="18"/>
          <w:szCs w:val="18"/>
          <w:lang w:val="en-US"/>
        </w:rPr>
        <w:t xml:space="preserve">. </w:t>
      </w:r>
      <w:r w:rsidRPr="006E47C2">
        <w:rPr>
          <w:sz w:val="18"/>
          <w:szCs w:val="18"/>
          <w:lang w:val="en-US"/>
        </w:rPr>
        <w:t xml:space="preserve">In comparison with other </w:t>
      </w:r>
      <w:r>
        <w:rPr>
          <w:sz w:val="18"/>
          <w:szCs w:val="18"/>
          <w:lang w:val="en-US"/>
        </w:rPr>
        <w:t xml:space="preserve">similar </w:t>
      </w:r>
      <w:r w:rsidRPr="006E47C2">
        <w:rPr>
          <w:sz w:val="18"/>
          <w:szCs w:val="18"/>
          <w:lang w:val="en-US"/>
        </w:rPr>
        <w:t>databases, BACI present</w:t>
      </w:r>
      <w:r>
        <w:rPr>
          <w:sz w:val="18"/>
          <w:szCs w:val="18"/>
          <w:lang w:val="en-US"/>
        </w:rPr>
        <w:t>s</w:t>
      </w:r>
      <w:r w:rsidRPr="006E47C2">
        <w:rPr>
          <w:sz w:val="18"/>
          <w:szCs w:val="18"/>
          <w:lang w:val="en-US"/>
        </w:rPr>
        <w:t xml:space="preserve"> broader coverage (more than 5,000 products and more than 200 countries)</w:t>
      </w:r>
      <w:r>
        <w:rPr>
          <w:sz w:val="18"/>
          <w:szCs w:val="18"/>
          <w:lang w:val="en-US"/>
        </w:rPr>
        <w:t>. Additionally, BACI's data</w:t>
      </w:r>
      <w:r w:rsidRPr="006E47C2">
        <w:rPr>
          <w:sz w:val="18"/>
          <w:szCs w:val="18"/>
          <w:lang w:val="en-US"/>
        </w:rPr>
        <w:t xml:space="preserve"> </w:t>
      </w:r>
      <w:r>
        <w:rPr>
          <w:sz w:val="18"/>
          <w:szCs w:val="18"/>
          <w:lang w:val="en-US"/>
        </w:rPr>
        <w:t xml:space="preserve">are </w:t>
      </w:r>
      <w:r w:rsidRPr="006E47C2">
        <w:rPr>
          <w:sz w:val="18"/>
          <w:szCs w:val="18"/>
          <w:lang w:val="en-US"/>
        </w:rPr>
        <w:t>more reliable than UN Comtrade’s original data</w:t>
      </w:r>
      <w:r>
        <w:rPr>
          <w:sz w:val="18"/>
          <w:szCs w:val="18"/>
          <w:lang w:val="en-US"/>
        </w:rPr>
        <w:t>,</w:t>
      </w:r>
      <w:r w:rsidRPr="006E47C2">
        <w:rPr>
          <w:sz w:val="18"/>
          <w:szCs w:val="18"/>
          <w:lang w:val="en-US"/>
        </w:rPr>
        <w:t xml:space="preserve"> due to the reconciliation work of data and correction of discrepancies carried out </w:t>
      </w:r>
      <w:r>
        <w:rPr>
          <w:sz w:val="18"/>
          <w:szCs w:val="18"/>
          <w:lang w:val="en-US"/>
        </w:rPr>
        <w:t>in the former (</w:t>
      </w:r>
      <w:r w:rsidRPr="006E47C2">
        <w:rPr>
          <w:sz w:val="18"/>
          <w:szCs w:val="18"/>
          <w:lang w:val="en-US"/>
        </w:rPr>
        <w:t>see G</w:t>
      </w:r>
      <w:r>
        <w:rPr>
          <w:sz w:val="18"/>
          <w:szCs w:val="18"/>
          <w:lang w:val="en-US"/>
        </w:rPr>
        <w:t>aulier</w:t>
      </w:r>
      <w:r w:rsidRPr="006E47C2">
        <w:rPr>
          <w:sz w:val="18"/>
          <w:szCs w:val="18"/>
          <w:lang w:val="en-US"/>
        </w:rPr>
        <w:t xml:space="preserve"> </w:t>
      </w:r>
      <w:r>
        <w:rPr>
          <w:sz w:val="18"/>
          <w:szCs w:val="18"/>
          <w:lang w:val="en-US"/>
        </w:rPr>
        <w:t xml:space="preserve">&amp; </w:t>
      </w:r>
      <w:r w:rsidRPr="006E47C2">
        <w:rPr>
          <w:sz w:val="18"/>
          <w:szCs w:val="18"/>
          <w:lang w:val="en-US"/>
        </w:rPr>
        <w:t>Z</w:t>
      </w:r>
      <w:r>
        <w:rPr>
          <w:sz w:val="18"/>
          <w:szCs w:val="18"/>
          <w:lang w:val="en-US"/>
        </w:rPr>
        <w:t xml:space="preserve">ignago, </w:t>
      </w:r>
      <w:r w:rsidRPr="006E47C2">
        <w:rPr>
          <w:sz w:val="18"/>
          <w:szCs w:val="18"/>
          <w:lang w:val="en-US"/>
        </w:rPr>
        <w:t>2010</w:t>
      </w:r>
      <w:r>
        <w:rPr>
          <w:sz w:val="18"/>
          <w:szCs w:val="18"/>
          <w:lang w:val="en-US"/>
        </w:rPr>
        <w:t>,</w:t>
      </w:r>
      <w:r w:rsidRPr="006E47C2">
        <w:rPr>
          <w:sz w:val="18"/>
          <w:szCs w:val="18"/>
          <w:lang w:val="en-US"/>
        </w:rPr>
        <w:t xml:space="preserve"> for </w:t>
      </w:r>
      <w:r>
        <w:rPr>
          <w:sz w:val="18"/>
          <w:szCs w:val="18"/>
          <w:lang w:val="en-US"/>
        </w:rPr>
        <w:t xml:space="preserve">more </w:t>
      </w:r>
      <w:r w:rsidRPr="006E47C2">
        <w:rPr>
          <w:sz w:val="18"/>
          <w:szCs w:val="18"/>
          <w:lang w:val="en-US"/>
        </w:rPr>
        <w:t>information</w:t>
      </w:r>
      <w:r>
        <w:rPr>
          <w:sz w:val="18"/>
          <w:szCs w:val="18"/>
          <w:lang w:val="en-US"/>
        </w:rPr>
        <w:t>)</w:t>
      </w:r>
      <w:r w:rsidRPr="006E47C2">
        <w:rPr>
          <w:sz w:val="18"/>
          <w:szCs w:val="18"/>
          <w:lang w:val="en-US"/>
        </w:rPr>
        <w:t>. BACI’s database can be downloaded in seve</w:t>
      </w:r>
      <w:r>
        <w:rPr>
          <w:sz w:val="18"/>
          <w:szCs w:val="18"/>
          <w:lang w:val="en-US"/>
        </w:rPr>
        <w:t>ral classifications (HS92, HS96</w:t>
      </w:r>
      <w:r w:rsidRPr="006E47C2">
        <w:rPr>
          <w:sz w:val="18"/>
          <w:szCs w:val="18"/>
          <w:lang w:val="en-US"/>
        </w:rPr>
        <w:t xml:space="preserve"> </w:t>
      </w:r>
      <w:r>
        <w:rPr>
          <w:sz w:val="18"/>
          <w:szCs w:val="18"/>
          <w:lang w:val="en-US"/>
        </w:rPr>
        <w:t xml:space="preserve">or Standard International Trade Classification, </w:t>
      </w:r>
      <w:r w:rsidRPr="006E47C2">
        <w:rPr>
          <w:sz w:val="18"/>
          <w:szCs w:val="18"/>
          <w:lang w:val="en-US"/>
        </w:rPr>
        <w:t xml:space="preserve">SITC) from </w:t>
      </w:r>
      <w:hyperlink r:id="rId2" w:history="1">
        <w:r w:rsidRPr="006E47C2">
          <w:rPr>
            <w:rStyle w:val="Hiperligao"/>
            <w:sz w:val="18"/>
            <w:szCs w:val="18"/>
            <w:lang w:val="en-US" w:eastAsia="es-ES"/>
          </w:rPr>
          <w:t>www.cepii.fr/anglaisgraph/bdd/baci.htm</w:t>
        </w:r>
      </w:hyperlink>
      <w:r w:rsidRPr="006E47C2">
        <w:rPr>
          <w:sz w:val="18"/>
          <w:szCs w:val="18"/>
          <w:lang w:val="en-US" w:eastAsia="es-ES"/>
        </w:rPr>
        <w:t>.</w:t>
      </w:r>
    </w:p>
  </w:footnote>
  <w:footnote w:id="15">
    <w:p w:rsidR="0098614F" w:rsidRPr="003A3B50" w:rsidRDefault="0098614F" w:rsidP="00FF21A4">
      <w:pPr>
        <w:pStyle w:val="Textodenotaderodap"/>
        <w:jc w:val="both"/>
        <w:rPr>
          <w:sz w:val="18"/>
          <w:szCs w:val="18"/>
          <w:lang w:val="en-US"/>
        </w:rPr>
      </w:pPr>
      <w:r w:rsidRPr="003A3B50">
        <w:rPr>
          <w:rStyle w:val="Refdenotaderodap"/>
          <w:sz w:val="18"/>
          <w:szCs w:val="18"/>
        </w:rPr>
        <w:footnoteRef/>
      </w:r>
      <w:r w:rsidRPr="003A3B50">
        <w:rPr>
          <w:sz w:val="18"/>
          <w:szCs w:val="18"/>
          <w:lang w:val="en-US"/>
        </w:rPr>
        <w:t xml:space="preserve"> </w:t>
      </w:r>
      <w:r>
        <w:rPr>
          <w:sz w:val="18"/>
          <w:szCs w:val="18"/>
          <w:lang w:val="en-US"/>
        </w:rPr>
        <w:t xml:space="preserve">Main empirical studies include: </w:t>
      </w:r>
      <w:r w:rsidRPr="002E313D">
        <w:rPr>
          <w:sz w:val="18"/>
          <w:szCs w:val="18"/>
          <w:lang w:val="en-US"/>
        </w:rPr>
        <w:t>Ng &amp; Yeats (1999, 2003), Yeats (2001), Kaminski &amp; Ng (2001), Yi (2003), Lemoine &amp; Ünal-Kesenci (2004), Lall et al (2004), Jones et al (2005), Gaulier et al (2005, 2006), At</w:t>
      </w:r>
      <w:r w:rsidRPr="004C6C22">
        <w:rPr>
          <w:sz w:val="18"/>
          <w:szCs w:val="18"/>
          <w:lang w:val="en-US"/>
        </w:rPr>
        <w:t>hukorala (2005, 2010), Kimura (2006), Athukorala &amp; Yamashita (2006), Ando (2006), Kimura et al (2007), Calfat &amp; Flôres (2008), Amador &amp; Cabral (2008), Dullien (2010), Ferrarini (2011), and Brooks &amp; Ferrarini (2012).</w:t>
      </w:r>
    </w:p>
  </w:footnote>
  <w:footnote w:id="16">
    <w:p w:rsidR="0098614F" w:rsidRPr="006E47C2" w:rsidRDefault="0098614F" w:rsidP="0006583E">
      <w:pPr>
        <w:pStyle w:val="Textodenotaderodap"/>
        <w:jc w:val="both"/>
        <w:rPr>
          <w:sz w:val="18"/>
          <w:szCs w:val="18"/>
          <w:lang w:val="en-US"/>
        </w:rPr>
      </w:pPr>
      <w:r w:rsidRPr="003A3B50">
        <w:rPr>
          <w:rStyle w:val="Refdenotaderodap"/>
          <w:sz w:val="18"/>
          <w:szCs w:val="18"/>
        </w:rPr>
        <w:footnoteRef/>
      </w:r>
      <w:r w:rsidRPr="003A3B50">
        <w:rPr>
          <w:sz w:val="18"/>
          <w:szCs w:val="18"/>
          <w:lang w:val="en-US"/>
        </w:rPr>
        <w:t xml:space="preserve"> Typically, “parts and components” is obtained from disaggregated levels of the SITC, n</w:t>
      </w:r>
      <w:r>
        <w:rPr>
          <w:sz w:val="18"/>
          <w:szCs w:val="18"/>
          <w:lang w:val="en-US"/>
        </w:rPr>
        <w:t xml:space="preserve">amely SITC 7 (machinery and transport equipment) and SITC 8 (miscellaneous of manufactured goods). </w:t>
      </w:r>
    </w:p>
  </w:footnote>
  <w:footnote w:id="17">
    <w:p w:rsidR="0098614F" w:rsidRPr="002E2CEC" w:rsidRDefault="0098614F" w:rsidP="002E2CEC">
      <w:pPr>
        <w:pStyle w:val="Textodenotaderodap"/>
        <w:jc w:val="both"/>
      </w:pPr>
      <w:r>
        <w:rPr>
          <w:rStyle w:val="Refdenotaderodap"/>
        </w:rPr>
        <w:footnoteRef/>
      </w:r>
      <w:r>
        <w:t xml:space="preserve"> </w:t>
      </w:r>
      <w:r>
        <w:rPr>
          <w:sz w:val="18"/>
          <w:szCs w:val="18"/>
          <w:lang w:val="en-US"/>
        </w:rPr>
        <w:t xml:space="preserve">According to </w:t>
      </w:r>
      <w:r w:rsidRPr="001F70F3">
        <w:rPr>
          <w:sz w:val="18"/>
          <w:szCs w:val="18"/>
          <w:lang w:val="en-US"/>
        </w:rPr>
        <w:t>De Backer &amp; Yamano (2007)</w:t>
      </w:r>
      <w:r>
        <w:rPr>
          <w:sz w:val="18"/>
          <w:szCs w:val="18"/>
          <w:lang w:val="en-US"/>
        </w:rPr>
        <w:t>, «t</w:t>
      </w:r>
      <w:r w:rsidRPr="004A66D1">
        <w:rPr>
          <w:sz w:val="18"/>
          <w:szCs w:val="18"/>
          <w:lang w:val="en-US"/>
        </w:rPr>
        <w:t>he measurement problem is even greater for the offshoring of services, as data on trade in services are far less detailed than on trade in goods, while trade data do not typically identify if services are destined for final consumption or intermediate use</w:t>
      </w:r>
      <w:r>
        <w:rPr>
          <w:sz w:val="18"/>
          <w:szCs w:val="18"/>
          <w:lang w:val="en-US"/>
        </w:rPr>
        <w:t>». D</w:t>
      </w:r>
      <w:r w:rsidRPr="003A3B50">
        <w:rPr>
          <w:sz w:val="18"/>
          <w:szCs w:val="18"/>
          <w:lang w:val="en-US"/>
        </w:rPr>
        <w:t xml:space="preserve">ata on parts and components </w:t>
      </w:r>
      <w:r>
        <w:rPr>
          <w:sz w:val="18"/>
          <w:szCs w:val="18"/>
          <w:lang w:val="en-US"/>
        </w:rPr>
        <w:t xml:space="preserve">are sometimes </w:t>
      </w:r>
      <w:r w:rsidRPr="003A3B50">
        <w:rPr>
          <w:sz w:val="18"/>
          <w:szCs w:val="18"/>
          <w:lang w:val="en-US"/>
        </w:rPr>
        <w:t xml:space="preserve">complemented with data from </w:t>
      </w:r>
      <w:r>
        <w:rPr>
          <w:sz w:val="18"/>
          <w:szCs w:val="18"/>
          <w:lang w:val="en-US"/>
        </w:rPr>
        <w:t xml:space="preserve">other </w:t>
      </w:r>
      <w:r w:rsidRPr="003A3B50">
        <w:rPr>
          <w:sz w:val="18"/>
          <w:szCs w:val="18"/>
          <w:lang w:val="en-US"/>
        </w:rPr>
        <w:t xml:space="preserve">products that, </w:t>
      </w:r>
      <w:r>
        <w:rPr>
          <w:sz w:val="18"/>
          <w:szCs w:val="18"/>
          <w:lang w:val="en-US"/>
        </w:rPr>
        <w:t xml:space="preserve">although they are </w:t>
      </w:r>
      <w:r w:rsidRPr="003A3B50">
        <w:rPr>
          <w:sz w:val="18"/>
          <w:szCs w:val="18"/>
          <w:lang w:val="en-US"/>
        </w:rPr>
        <w:t xml:space="preserve">not classified </w:t>
      </w:r>
      <w:r>
        <w:rPr>
          <w:sz w:val="18"/>
          <w:szCs w:val="18"/>
          <w:lang w:val="en-US"/>
        </w:rPr>
        <w:t>as such</w:t>
      </w:r>
      <w:r w:rsidRPr="003A3B50">
        <w:rPr>
          <w:sz w:val="18"/>
          <w:szCs w:val="18"/>
          <w:lang w:val="en-US"/>
        </w:rPr>
        <w:t xml:space="preserve">, </w:t>
      </w:r>
      <w:r>
        <w:rPr>
          <w:sz w:val="18"/>
          <w:szCs w:val="18"/>
          <w:lang w:val="en-US"/>
        </w:rPr>
        <w:t>a</w:t>
      </w:r>
      <w:r w:rsidRPr="003A3B50">
        <w:rPr>
          <w:sz w:val="18"/>
          <w:szCs w:val="18"/>
          <w:lang w:val="en-US"/>
        </w:rPr>
        <w:t xml:space="preserve">re considered semi-finished products and </w:t>
      </w:r>
      <w:r>
        <w:rPr>
          <w:sz w:val="18"/>
          <w:szCs w:val="18"/>
          <w:lang w:val="en-US"/>
        </w:rPr>
        <w:t xml:space="preserve">used as </w:t>
      </w:r>
      <w:r w:rsidRPr="003A3B50">
        <w:rPr>
          <w:sz w:val="18"/>
          <w:szCs w:val="18"/>
          <w:lang w:val="en-US"/>
        </w:rPr>
        <w:t xml:space="preserve">inputs </w:t>
      </w:r>
      <w:r>
        <w:rPr>
          <w:sz w:val="18"/>
          <w:szCs w:val="18"/>
          <w:lang w:val="en-US"/>
        </w:rPr>
        <w:t xml:space="preserve">in </w:t>
      </w:r>
      <w:r w:rsidRPr="003A3B50">
        <w:rPr>
          <w:sz w:val="18"/>
          <w:szCs w:val="18"/>
          <w:lang w:val="en-US"/>
        </w:rPr>
        <w:t>the production of manufactured goods</w:t>
      </w:r>
      <w:r>
        <w:rPr>
          <w:sz w:val="18"/>
          <w:szCs w:val="18"/>
          <w:lang w:val="en-US"/>
        </w:rPr>
        <w:t xml:space="preserve">. This is more common </w:t>
      </w:r>
      <w:r w:rsidRPr="003A3B50">
        <w:rPr>
          <w:sz w:val="18"/>
          <w:szCs w:val="18"/>
          <w:lang w:val="en-US"/>
        </w:rPr>
        <w:t xml:space="preserve">when access to highly disaggregated levels of data </w:t>
      </w:r>
      <w:r>
        <w:rPr>
          <w:sz w:val="18"/>
          <w:szCs w:val="18"/>
          <w:lang w:val="en-US"/>
        </w:rPr>
        <w:t xml:space="preserve">is </w:t>
      </w:r>
      <w:r w:rsidRPr="003A3B50">
        <w:rPr>
          <w:sz w:val="18"/>
          <w:szCs w:val="18"/>
          <w:lang w:val="en-US"/>
        </w:rPr>
        <w:t xml:space="preserve">not possible. There are two main reasons in favor of </w:t>
      </w:r>
      <w:r>
        <w:rPr>
          <w:sz w:val="18"/>
          <w:szCs w:val="18"/>
          <w:lang w:val="en-US"/>
        </w:rPr>
        <w:t xml:space="preserve">extending the relevant data in </w:t>
      </w:r>
      <w:r w:rsidRPr="003A3B50">
        <w:rPr>
          <w:sz w:val="18"/>
          <w:szCs w:val="18"/>
          <w:lang w:val="en-US"/>
        </w:rPr>
        <w:t xml:space="preserve">this </w:t>
      </w:r>
      <w:r>
        <w:rPr>
          <w:sz w:val="18"/>
          <w:szCs w:val="18"/>
          <w:lang w:val="en-US"/>
        </w:rPr>
        <w:t>way</w:t>
      </w:r>
      <w:r w:rsidRPr="003A3B50">
        <w:rPr>
          <w:sz w:val="18"/>
          <w:szCs w:val="18"/>
          <w:lang w:val="en-US"/>
        </w:rPr>
        <w:t xml:space="preserve">: (i) </w:t>
      </w:r>
      <w:r>
        <w:rPr>
          <w:sz w:val="18"/>
          <w:szCs w:val="18"/>
          <w:lang w:val="en-US"/>
        </w:rPr>
        <w:t xml:space="preserve">first, some manufacturing sectors (e.g. electronics) make </w:t>
      </w:r>
      <w:r w:rsidRPr="003A3B50">
        <w:rPr>
          <w:sz w:val="18"/>
          <w:szCs w:val="18"/>
          <w:lang w:val="en-US"/>
        </w:rPr>
        <w:t>intensive</w:t>
      </w:r>
      <w:r>
        <w:rPr>
          <w:sz w:val="18"/>
          <w:szCs w:val="18"/>
          <w:lang w:val="en-US"/>
        </w:rPr>
        <w:t xml:space="preserve"> use of </w:t>
      </w:r>
      <w:r w:rsidRPr="003A3B50">
        <w:rPr>
          <w:sz w:val="18"/>
          <w:szCs w:val="18"/>
          <w:lang w:val="en-US"/>
        </w:rPr>
        <w:t xml:space="preserve">semi-finished </w:t>
      </w:r>
      <w:r>
        <w:rPr>
          <w:sz w:val="18"/>
          <w:szCs w:val="18"/>
          <w:lang w:val="en-US"/>
        </w:rPr>
        <w:t>products as inputs</w:t>
      </w:r>
      <w:r w:rsidRPr="003A3B50">
        <w:rPr>
          <w:sz w:val="18"/>
          <w:szCs w:val="18"/>
          <w:lang w:val="en-US"/>
        </w:rPr>
        <w:t xml:space="preserve"> </w:t>
      </w:r>
      <w:r>
        <w:rPr>
          <w:sz w:val="18"/>
          <w:szCs w:val="18"/>
          <w:lang w:val="en-US"/>
        </w:rPr>
        <w:t>in their production processes</w:t>
      </w:r>
      <w:r w:rsidRPr="003A3B50">
        <w:rPr>
          <w:sz w:val="18"/>
          <w:szCs w:val="18"/>
          <w:lang w:val="en-US"/>
        </w:rPr>
        <w:t xml:space="preserve">, and (ii) </w:t>
      </w:r>
      <w:r>
        <w:rPr>
          <w:sz w:val="18"/>
          <w:szCs w:val="18"/>
          <w:lang w:val="en-US"/>
        </w:rPr>
        <w:t xml:space="preserve">second, </w:t>
      </w:r>
      <w:r w:rsidRPr="003A3B50">
        <w:rPr>
          <w:sz w:val="18"/>
          <w:szCs w:val="18"/>
          <w:lang w:val="en-US"/>
        </w:rPr>
        <w:t xml:space="preserve">category </w:t>
      </w:r>
      <w:r>
        <w:rPr>
          <w:sz w:val="18"/>
          <w:szCs w:val="18"/>
          <w:lang w:val="en-US"/>
        </w:rPr>
        <w:t xml:space="preserve">number </w:t>
      </w:r>
      <w:r w:rsidRPr="003A3B50">
        <w:rPr>
          <w:sz w:val="18"/>
          <w:szCs w:val="18"/>
          <w:lang w:val="en-US"/>
        </w:rPr>
        <w:t xml:space="preserve">seven of the </w:t>
      </w:r>
      <w:r>
        <w:rPr>
          <w:sz w:val="18"/>
          <w:szCs w:val="18"/>
          <w:lang w:val="en-US"/>
        </w:rPr>
        <w:t>UN</w:t>
      </w:r>
      <w:r w:rsidRPr="003A3B50">
        <w:rPr>
          <w:sz w:val="18"/>
          <w:szCs w:val="18"/>
          <w:lang w:val="en-US"/>
        </w:rPr>
        <w:t xml:space="preserve"> SITC mostly includes parts and components for machinery and transport sectors, </w:t>
      </w:r>
      <w:r>
        <w:rPr>
          <w:sz w:val="18"/>
          <w:szCs w:val="18"/>
          <w:lang w:val="en-US"/>
        </w:rPr>
        <w:t xml:space="preserve">but it does not include </w:t>
      </w:r>
      <w:r w:rsidRPr="003A3B50">
        <w:rPr>
          <w:sz w:val="18"/>
          <w:szCs w:val="18"/>
          <w:lang w:val="en-US"/>
        </w:rPr>
        <w:t>parts and components of other industries with h</w:t>
      </w:r>
      <w:r>
        <w:rPr>
          <w:sz w:val="18"/>
          <w:szCs w:val="18"/>
          <w:lang w:val="en-US"/>
        </w:rPr>
        <w:t>igh potential for fragmentation</w:t>
      </w:r>
      <w:r w:rsidRPr="003A3B50">
        <w:rPr>
          <w:sz w:val="18"/>
          <w:szCs w:val="18"/>
          <w:lang w:val="en-US"/>
        </w:rPr>
        <w:t>, such as electronics, textile, chemicals and footwear</w:t>
      </w:r>
      <w:r>
        <w:rPr>
          <w:sz w:val="18"/>
          <w:szCs w:val="18"/>
          <w:lang w:val="en-US"/>
        </w:rPr>
        <w:t xml:space="preserve"> (see UNCTAD, 2002, 2007, for a more detailed discussion)</w:t>
      </w:r>
      <w:r w:rsidRPr="003A3B50">
        <w:rPr>
          <w:sz w:val="18"/>
          <w:szCs w:val="18"/>
          <w:lang w:val="en-US"/>
        </w:rPr>
        <w:t>.</w:t>
      </w:r>
    </w:p>
  </w:footnote>
  <w:footnote w:id="18">
    <w:p w:rsidR="0098614F" w:rsidRPr="00FA5C4B" w:rsidRDefault="0098614F" w:rsidP="00FA5C4B">
      <w:pPr>
        <w:pStyle w:val="Textodenotaderodap"/>
        <w:jc w:val="both"/>
        <w:rPr>
          <w:sz w:val="18"/>
          <w:szCs w:val="18"/>
          <w:lang w:val="en-US"/>
        </w:rPr>
      </w:pPr>
      <w:r w:rsidRPr="003A3B50">
        <w:rPr>
          <w:rStyle w:val="Refdenotaderodap"/>
          <w:sz w:val="18"/>
          <w:szCs w:val="18"/>
        </w:rPr>
        <w:footnoteRef/>
      </w:r>
      <w:r w:rsidRPr="003A3B50">
        <w:rPr>
          <w:sz w:val="18"/>
          <w:szCs w:val="18"/>
          <w:lang w:val="en-US"/>
        </w:rPr>
        <w:t xml:space="preserve"> </w:t>
      </w:r>
      <w:r>
        <w:rPr>
          <w:sz w:val="18"/>
          <w:szCs w:val="18"/>
          <w:lang w:val="en-US"/>
        </w:rPr>
        <w:t>Main databases include: “</w:t>
      </w:r>
      <w:r w:rsidRPr="00FA5C4B">
        <w:rPr>
          <w:sz w:val="18"/>
          <w:szCs w:val="18"/>
          <w:lang w:val="en-US"/>
        </w:rPr>
        <w:t>Offshore assembly program</w:t>
      </w:r>
      <w:r>
        <w:rPr>
          <w:sz w:val="18"/>
          <w:szCs w:val="18"/>
          <w:lang w:val="en-US"/>
        </w:rPr>
        <w:t>”</w:t>
      </w:r>
      <w:r w:rsidRPr="00FA5C4B">
        <w:rPr>
          <w:sz w:val="18"/>
          <w:szCs w:val="18"/>
          <w:lang w:val="en-US"/>
        </w:rPr>
        <w:t xml:space="preserve">, for the US; </w:t>
      </w:r>
      <w:r>
        <w:rPr>
          <w:sz w:val="18"/>
          <w:szCs w:val="18"/>
          <w:lang w:val="en-US"/>
        </w:rPr>
        <w:t>“</w:t>
      </w:r>
      <w:r w:rsidRPr="00FA5C4B">
        <w:rPr>
          <w:sz w:val="18"/>
          <w:szCs w:val="18"/>
          <w:lang w:val="en-US"/>
        </w:rPr>
        <w:t>Outward processing trade</w:t>
      </w:r>
      <w:r>
        <w:rPr>
          <w:sz w:val="18"/>
          <w:szCs w:val="18"/>
          <w:lang w:val="en-US"/>
        </w:rPr>
        <w:t>”</w:t>
      </w:r>
      <w:r w:rsidRPr="00FA5C4B">
        <w:rPr>
          <w:sz w:val="18"/>
          <w:szCs w:val="18"/>
          <w:lang w:val="en-US"/>
        </w:rPr>
        <w:t xml:space="preserve">, for the EU; and </w:t>
      </w:r>
      <w:r>
        <w:rPr>
          <w:sz w:val="18"/>
          <w:szCs w:val="18"/>
          <w:lang w:val="en-US"/>
        </w:rPr>
        <w:t>“</w:t>
      </w:r>
      <w:r w:rsidRPr="00FA5C4B">
        <w:rPr>
          <w:sz w:val="18"/>
          <w:szCs w:val="18"/>
          <w:lang w:val="en-US"/>
        </w:rPr>
        <w:t>General administration of customs</w:t>
      </w:r>
      <w:r>
        <w:rPr>
          <w:sz w:val="18"/>
          <w:szCs w:val="18"/>
          <w:lang w:val="en-US"/>
        </w:rPr>
        <w:t>”</w:t>
      </w:r>
      <w:r w:rsidRPr="00FA5C4B">
        <w:rPr>
          <w:sz w:val="18"/>
          <w:szCs w:val="18"/>
          <w:lang w:val="en-US"/>
        </w:rPr>
        <w:t>, for the PRC.</w:t>
      </w:r>
    </w:p>
  </w:footnote>
  <w:footnote w:id="19">
    <w:p w:rsidR="0098614F" w:rsidRPr="003A3B50" w:rsidRDefault="0098614F" w:rsidP="00FA5C4B">
      <w:pPr>
        <w:pStyle w:val="Textodenotaderodap"/>
        <w:jc w:val="both"/>
        <w:rPr>
          <w:sz w:val="18"/>
          <w:szCs w:val="18"/>
          <w:lang w:val="en-US"/>
        </w:rPr>
      </w:pPr>
      <w:r w:rsidRPr="003A3B50">
        <w:rPr>
          <w:rStyle w:val="Refdenotaderodap"/>
          <w:sz w:val="18"/>
          <w:szCs w:val="18"/>
        </w:rPr>
        <w:footnoteRef/>
      </w:r>
      <w:r w:rsidRPr="003A3B50">
        <w:rPr>
          <w:sz w:val="18"/>
          <w:szCs w:val="18"/>
          <w:lang w:val="en-US"/>
        </w:rPr>
        <w:t xml:space="preserve"> </w:t>
      </w:r>
      <w:r>
        <w:rPr>
          <w:sz w:val="18"/>
          <w:szCs w:val="18"/>
          <w:lang w:val="en-US"/>
        </w:rPr>
        <w:t xml:space="preserve">Main empirical studies include: </w:t>
      </w:r>
      <w:r w:rsidRPr="002E313D">
        <w:rPr>
          <w:sz w:val="18"/>
          <w:szCs w:val="18"/>
          <w:lang w:val="en-US"/>
        </w:rPr>
        <w:t>Feenstra et al (1998), Görg (2000), Yeats (2001), Egger &amp; Egger (2001, 2005), Baldone et al (2001, 2007), Lemoine &amp; Ünal-Kesenci (2004), Guerrieri &amp; Caffarelli (2004), Gaulier et al (2005), Swenson (2005), Helg &amp; Tajoli (2005), Clark (2006), an</w:t>
      </w:r>
      <w:r w:rsidRPr="004C6C22">
        <w:rPr>
          <w:sz w:val="18"/>
          <w:szCs w:val="18"/>
          <w:lang w:val="en-US"/>
        </w:rPr>
        <w:t>d Amador &amp; Cabral (2008).</w:t>
      </w:r>
    </w:p>
  </w:footnote>
  <w:footnote w:id="20">
    <w:p w:rsidR="0098614F" w:rsidRPr="009E154A" w:rsidRDefault="0098614F" w:rsidP="00FA5C4B">
      <w:pPr>
        <w:autoSpaceDE w:val="0"/>
        <w:autoSpaceDN w:val="0"/>
        <w:adjustRightInd w:val="0"/>
        <w:jc w:val="both"/>
        <w:rPr>
          <w:sz w:val="18"/>
          <w:szCs w:val="18"/>
          <w:lang w:val="en-US"/>
        </w:rPr>
      </w:pPr>
      <w:r w:rsidRPr="00454F24">
        <w:rPr>
          <w:rStyle w:val="Refdenotaderodap"/>
          <w:sz w:val="18"/>
          <w:szCs w:val="18"/>
        </w:rPr>
        <w:footnoteRef/>
      </w:r>
      <w:r w:rsidRPr="00454F24">
        <w:rPr>
          <w:sz w:val="18"/>
          <w:szCs w:val="18"/>
          <w:lang w:val="en-US"/>
        </w:rPr>
        <w:t xml:space="preserve"> </w:t>
      </w:r>
      <w:r>
        <w:rPr>
          <w:sz w:val="18"/>
          <w:szCs w:val="18"/>
          <w:lang w:val="en-US"/>
        </w:rPr>
        <w:t>Note also that external factors like the elimination of trade barriers or the implementation of efficient systems of Value Added Tax (VAT) reimbursement in international transactions reduce the incentive for firms to declare their exports as processing goods. Consequently, some of the goods being transacted for processing purposes, in the economic sense of the term, are frequently recorded as conventional imports or exports. For that reason, the processing data are normally underestimated (see Eurostat, 2006)</w:t>
      </w:r>
      <w:r w:rsidRPr="00431C17">
        <w:rPr>
          <w:sz w:val="18"/>
          <w:szCs w:val="18"/>
          <w:lang w:val="en-US"/>
        </w:rPr>
        <w:t xml:space="preserve">. </w:t>
      </w:r>
    </w:p>
  </w:footnote>
  <w:footnote w:id="21">
    <w:p w:rsidR="0098614F" w:rsidRPr="00FA5C4B" w:rsidRDefault="0098614F" w:rsidP="00FA5C4B">
      <w:pPr>
        <w:pStyle w:val="Textodenotaderodap"/>
        <w:jc w:val="both"/>
        <w:rPr>
          <w:sz w:val="18"/>
          <w:szCs w:val="18"/>
          <w:lang w:val="en-US"/>
        </w:rPr>
      </w:pPr>
      <w:r w:rsidRPr="003A3B50">
        <w:rPr>
          <w:rStyle w:val="Refdenotaderodap"/>
          <w:sz w:val="18"/>
          <w:szCs w:val="18"/>
        </w:rPr>
        <w:footnoteRef/>
      </w:r>
      <w:r w:rsidRPr="003A3B50">
        <w:rPr>
          <w:sz w:val="18"/>
          <w:szCs w:val="18"/>
          <w:lang w:val="en-US"/>
        </w:rPr>
        <w:t xml:space="preserve"> </w:t>
      </w:r>
      <w:r>
        <w:rPr>
          <w:sz w:val="18"/>
          <w:szCs w:val="18"/>
          <w:lang w:val="en-US"/>
        </w:rPr>
        <w:t xml:space="preserve">Main databases include: </w:t>
      </w:r>
      <w:r w:rsidRPr="00E3365C">
        <w:rPr>
          <w:sz w:val="18"/>
          <w:szCs w:val="18"/>
          <w:lang w:val="en-US"/>
        </w:rPr>
        <w:t>(a) Activity of Foreign Affiliates (AFA) and Foreign Affiliates’ Trade in Services (FATS) by the OECD for manufactures and services, respectively; (b) OECD’s Activity of Multinational Enterprises (AMNE) database; (c) World Bank’s enterprise surveys; (d) data on FDI from the UN</w:t>
      </w:r>
      <w:r>
        <w:rPr>
          <w:sz w:val="18"/>
          <w:szCs w:val="18"/>
          <w:lang w:val="en-US"/>
        </w:rPr>
        <w:t xml:space="preserve"> Conference on Trade and Development (UN</w:t>
      </w:r>
      <w:r w:rsidRPr="00E3365C">
        <w:rPr>
          <w:sz w:val="18"/>
          <w:szCs w:val="18"/>
          <w:lang w:val="en-US"/>
        </w:rPr>
        <w:t>CTAD</w:t>
      </w:r>
      <w:r>
        <w:rPr>
          <w:sz w:val="18"/>
          <w:szCs w:val="18"/>
          <w:lang w:val="en-US"/>
        </w:rPr>
        <w:t>)</w:t>
      </w:r>
      <w:r w:rsidRPr="00E3365C">
        <w:rPr>
          <w:sz w:val="18"/>
          <w:szCs w:val="18"/>
          <w:lang w:val="en-US"/>
        </w:rPr>
        <w:t>; (e)</w:t>
      </w:r>
      <w:r>
        <w:rPr>
          <w:sz w:val="18"/>
          <w:szCs w:val="18"/>
          <w:lang w:val="en-US"/>
        </w:rPr>
        <w:t xml:space="preserve"> </w:t>
      </w:r>
      <w:r w:rsidRPr="00E3365C">
        <w:rPr>
          <w:sz w:val="18"/>
          <w:szCs w:val="18"/>
          <w:lang w:val="en-US"/>
        </w:rPr>
        <w:t xml:space="preserve">UNCTAD-EORA-GVC database, launched on February 27, 2013, together with firm ownership and firm financial data based on the Orbis database </w:t>
      </w:r>
      <w:r>
        <w:rPr>
          <w:sz w:val="18"/>
          <w:szCs w:val="18"/>
          <w:lang w:val="en-US"/>
        </w:rPr>
        <w:t xml:space="preserve">(see UNCTAD, 2013, pp. 139-140); and (f) </w:t>
      </w:r>
      <w:r>
        <w:rPr>
          <w:i/>
          <w:sz w:val="18"/>
          <w:szCs w:val="18"/>
          <w:lang w:val="en-US"/>
        </w:rPr>
        <w:t>a</w:t>
      </w:r>
      <w:r w:rsidRPr="00C6756F">
        <w:rPr>
          <w:i/>
          <w:sz w:val="18"/>
          <w:szCs w:val="18"/>
          <w:lang w:val="en-US"/>
        </w:rPr>
        <w:t>d hoc</w:t>
      </w:r>
      <w:r w:rsidRPr="00C6756F">
        <w:rPr>
          <w:sz w:val="18"/>
          <w:szCs w:val="18"/>
          <w:lang w:val="en-US"/>
        </w:rPr>
        <w:t xml:space="preserve"> sources, national- or firm-specific.</w:t>
      </w:r>
    </w:p>
  </w:footnote>
  <w:footnote w:id="22">
    <w:p w:rsidR="0098614F" w:rsidRPr="003A3B50" w:rsidRDefault="0098614F" w:rsidP="00FA5C4B">
      <w:pPr>
        <w:pStyle w:val="Textodenotaderodap"/>
        <w:jc w:val="both"/>
        <w:rPr>
          <w:sz w:val="18"/>
          <w:szCs w:val="18"/>
          <w:lang w:val="en-US"/>
        </w:rPr>
      </w:pPr>
      <w:r w:rsidRPr="003A3B50">
        <w:rPr>
          <w:rStyle w:val="Refdenotaderodap"/>
          <w:sz w:val="18"/>
          <w:szCs w:val="18"/>
        </w:rPr>
        <w:footnoteRef/>
      </w:r>
      <w:r w:rsidRPr="003A3B50">
        <w:rPr>
          <w:sz w:val="18"/>
          <w:szCs w:val="18"/>
          <w:lang w:val="en-US"/>
        </w:rPr>
        <w:t xml:space="preserve"> </w:t>
      </w:r>
      <w:r>
        <w:rPr>
          <w:sz w:val="18"/>
          <w:szCs w:val="18"/>
          <w:lang w:val="en-US"/>
        </w:rPr>
        <w:t xml:space="preserve">Main empirical studies include: </w:t>
      </w:r>
      <w:r w:rsidRPr="002E313D">
        <w:rPr>
          <w:sz w:val="18"/>
          <w:szCs w:val="18"/>
          <w:lang w:val="en-US"/>
        </w:rPr>
        <w:t>Kimura &amp; Baldwin (1998)</w:t>
      </w:r>
      <w:r>
        <w:rPr>
          <w:sz w:val="18"/>
          <w:szCs w:val="18"/>
          <w:lang w:val="en-US"/>
        </w:rPr>
        <w:t>;</w:t>
      </w:r>
      <w:r w:rsidRPr="002E313D">
        <w:rPr>
          <w:sz w:val="18"/>
          <w:szCs w:val="18"/>
          <w:lang w:val="en-US"/>
        </w:rPr>
        <w:t xml:space="preserve"> Ando &amp; Kimura (2003)</w:t>
      </w:r>
      <w:r>
        <w:rPr>
          <w:sz w:val="18"/>
          <w:szCs w:val="18"/>
          <w:lang w:val="en-US"/>
        </w:rPr>
        <w:t>;</w:t>
      </w:r>
      <w:r w:rsidRPr="002E313D">
        <w:rPr>
          <w:sz w:val="18"/>
          <w:szCs w:val="18"/>
          <w:lang w:val="en-US"/>
        </w:rPr>
        <w:t xml:space="preserve"> Girma &amp; Görg (2004)</w:t>
      </w:r>
      <w:r>
        <w:rPr>
          <w:sz w:val="18"/>
          <w:szCs w:val="18"/>
          <w:lang w:val="en-US"/>
        </w:rPr>
        <w:t>;</w:t>
      </w:r>
      <w:r w:rsidRPr="002E313D">
        <w:rPr>
          <w:sz w:val="18"/>
          <w:szCs w:val="18"/>
          <w:lang w:val="en-US"/>
        </w:rPr>
        <w:t xml:space="preserve"> Borga &amp; Zeile (2004)</w:t>
      </w:r>
      <w:r>
        <w:rPr>
          <w:sz w:val="18"/>
          <w:szCs w:val="18"/>
          <w:lang w:val="en-US"/>
        </w:rPr>
        <w:t>;</w:t>
      </w:r>
      <w:r w:rsidRPr="002E313D">
        <w:rPr>
          <w:sz w:val="18"/>
          <w:szCs w:val="18"/>
          <w:lang w:val="en-US"/>
        </w:rPr>
        <w:t xml:space="preserve"> Görg &amp; Hanley (2005)</w:t>
      </w:r>
      <w:r>
        <w:rPr>
          <w:sz w:val="18"/>
          <w:szCs w:val="18"/>
          <w:lang w:val="en-US"/>
        </w:rPr>
        <w:t>;</w:t>
      </w:r>
      <w:r w:rsidRPr="002E313D">
        <w:rPr>
          <w:sz w:val="18"/>
          <w:szCs w:val="18"/>
          <w:lang w:val="en-US"/>
        </w:rPr>
        <w:t xml:space="preserve"> Hanson et al (2005)</w:t>
      </w:r>
      <w:r>
        <w:rPr>
          <w:sz w:val="18"/>
          <w:szCs w:val="18"/>
          <w:lang w:val="en-US"/>
        </w:rPr>
        <w:t>;</w:t>
      </w:r>
      <w:r w:rsidRPr="002E313D">
        <w:rPr>
          <w:sz w:val="18"/>
          <w:szCs w:val="18"/>
          <w:lang w:val="en-US"/>
        </w:rPr>
        <w:t xml:space="preserve"> Criscuolo (2005)</w:t>
      </w:r>
      <w:r>
        <w:rPr>
          <w:sz w:val="18"/>
          <w:szCs w:val="18"/>
          <w:lang w:val="en-US"/>
        </w:rPr>
        <w:t>;</w:t>
      </w:r>
      <w:r w:rsidRPr="002E313D">
        <w:rPr>
          <w:sz w:val="18"/>
          <w:szCs w:val="18"/>
          <w:lang w:val="en-US"/>
        </w:rPr>
        <w:t xml:space="preserve"> Tomiura (2005, 2007)</w:t>
      </w:r>
      <w:r>
        <w:rPr>
          <w:sz w:val="18"/>
          <w:szCs w:val="18"/>
          <w:lang w:val="en-US"/>
        </w:rPr>
        <w:t>;</w:t>
      </w:r>
      <w:r w:rsidRPr="002E313D">
        <w:rPr>
          <w:sz w:val="18"/>
          <w:szCs w:val="18"/>
          <w:lang w:val="en-US"/>
        </w:rPr>
        <w:t xml:space="preserve"> Kurz (2006)</w:t>
      </w:r>
      <w:r>
        <w:rPr>
          <w:sz w:val="18"/>
          <w:szCs w:val="18"/>
          <w:lang w:val="en-US"/>
        </w:rPr>
        <w:t>;</w:t>
      </w:r>
      <w:r w:rsidRPr="002E313D">
        <w:rPr>
          <w:sz w:val="18"/>
          <w:szCs w:val="18"/>
          <w:lang w:val="en-US"/>
        </w:rPr>
        <w:t xml:space="preserve"> Görg et al (2008)</w:t>
      </w:r>
      <w:r>
        <w:rPr>
          <w:sz w:val="18"/>
          <w:szCs w:val="18"/>
          <w:lang w:val="en-US"/>
        </w:rPr>
        <w:t>;</w:t>
      </w:r>
      <w:r w:rsidRPr="002E313D">
        <w:rPr>
          <w:sz w:val="18"/>
          <w:szCs w:val="18"/>
          <w:lang w:val="en-US"/>
        </w:rPr>
        <w:t xml:space="preserve"> Altomonte et al (2012)</w:t>
      </w:r>
      <w:r>
        <w:rPr>
          <w:sz w:val="18"/>
          <w:szCs w:val="18"/>
          <w:lang w:val="en-US"/>
        </w:rPr>
        <w:t>;</w:t>
      </w:r>
      <w:r w:rsidRPr="002E313D">
        <w:rPr>
          <w:sz w:val="18"/>
          <w:szCs w:val="18"/>
          <w:lang w:val="en-US"/>
        </w:rPr>
        <w:t xml:space="preserve"> Wignaraja (2012)</w:t>
      </w:r>
      <w:r>
        <w:rPr>
          <w:sz w:val="18"/>
          <w:szCs w:val="18"/>
          <w:lang w:val="en-US"/>
        </w:rPr>
        <w:t>;</w:t>
      </w:r>
      <w:r w:rsidRPr="002E313D">
        <w:rPr>
          <w:sz w:val="18"/>
          <w:szCs w:val="18"/>
          <w:lang w:val="en-US"/>
        </w:rPr>
        <w:t xml:space="preserve"> Stone (2012)</w:t>
      </w:r>
      <w:r>
        <w:rPr>
          <w:sz w:val="18"/>
          <w:szCs w:val="18"/>
          <w:lang w:val="en-US"/>
        </w:rPr>
        <w:t>;</w:t>
      </w:r>
      <w:r w:rsidRPr="002E313D">
        <w:rPr>
          <w:sz w:val="18"/>
          <w:szCs w:val="18"/>
          <w:lang w:val="en-US"/>
        </w:rPr>
        <w:t xml:space="preserve"> and UNCTAD (2013</w:t>
      </w:r>
      <w:r>
        <w:rPr>
          <w:sz w:val="18"/>
          <w:szCs w:val="18"/>
          <w:lang w:val="en-US"/>
        </w:rPr>
        <w:t>c</w:t>
      </w:r>
      <w:r w:rsidRPr="002E313D">
        <w:rPr>
          <w:sz w:val="18"/>
          <w:szCs w:val="18"/>
          <w:lang w:val="en-US"/>
        </w:rPr>
        <w:t>)</w:t>
      </w:r>
      <w:r>
        <w:rPr>
          <w:sz w:val="18"/>
          <w:szCs w:val="18"/>
          <w:lang w:val="en-US"/>
        </w:rPr>
        <w:t>.</w:t>
      </w:r>
    </w:p>
  </w:footnote>
  <w:footnote w:id="23">
    <w:p w:rsidR="0098614F" w:rsidRPr="00D535AB" w:rsidRDefault="0098614F" w:rsidP="00D535AB">
      <w:pPr>
        <w:pStyle w:val="Textodenotaderodap"/>
        <w:jc w:val="both"/>
      </w:pPr>
      <w:r>
        <w:rPr>
          <w:rStyle w:val="Refdenotaderodap"/>
        </w:rPr>
        <w:footnoteRef/>
      </w:r>
      <w:r>
        <w:t xml:space="preserve"> </w:t>
      </w:r>
      <w:r w:rsidRPr="00D535AB">
        <w:rPr>
          <w:sz w:val="18"/>
          <w:szCs w:val="18"/>
        </w:rPr>
        <w:t xml:space="preserve">Note that </w:t>
      </w:r>
      <w:r w:rsidRPr="00D535AB">
        <w:rPr>
          <w:sz w:val="18"/>
          <w:szCs w:val="18"/>
          <w:lang w:val="en-US"/>
        </w:rPr>
        <w:t>national IO matrices are normally available only in intervals of five years, due to the huge amount of work involved.</w:t>
      </w:r>
    </w:p>
  </w:footnote>
  <w:footnote w:id="24">
    <w:p w:rsidR="0098614F" w:rsidRPr="000B1886" w:rsidRDefault="0098614F" w:rsidP="0025369F">
      <w:pPr>
        <w:pStyle w:val="Textodenotaderodap"/>
        <w:jc w:val="both"/>
        <w:rPr>
          <w:sz w:val="18"/>
          <w:szCs w:val="18"/>
        </w:rPr>
      </w:pPr>
      <w:r w:rsidRPr="000B1886">
        <w:rPr>
          <w:rStyle w:val="Refdenotaderodap"/>
          <w:sz w:val="18"/>
          <w:szCs w:val="18"/>
        </w:rPr>
        <w:footnoteRef/>
      </w:r>
      <w:r w:rsidRPr="000B1886">
        <w:rPr>
          <w:sz w:val="18"/>
          <w:szCs w:val="18"/>
        </w:rPr>
        <w:t xml:space="preserve"> While the basic price is the amount receivable by the producer exclusive of taxes payable on products and inclusive of subsidies receivable on products (the equivalent for imported products is the c.i.f. - cost, insurance and freight, that is, the value at the border of the importing country), the purchaser price is the amount payable by the purchaser (it includes trade margins realized by wholesalers and retailers - by definition, their output - as well as transport margins - that is, any transport charges paid separately by the purchaser - and non-deductible value-added tax</w:t>
      </w:r>
      <w:r>
        <w:rPr>
          <w:sz w:val="18"/>
          <w:szCs w:val="18"/>
        </w:rPr>
        <w:t>).</w:t>
      </w:r>
      <w:r w:rsidRPr="000B1886">
        <w:rPr>
          <w:sz w:val="18"/>
          <w:szCs w:val="18"/>
        </w:rPr>
        <w:t xml:space="preserve"> </w:t>
      </w:r>
      <w:r>
        <w:rPr>
          <w:sz w:val="18"/>
          <w:szCs w:val="18"/>
        </w:rPr>
        <w:t>These d</w:t>
      </w:r>
      <w:r w:rsidRPr="000B1886">
        <w:rPr>
          <w:sz w:val="18"/>
          <w:szCs w:val="18"/>
        </w:rPr>
        <w:t xml:space="preserve">efinitions </w:t>
      </w:r>
      <w:r>
        <w:rPr>
          <w:sz w:val="18"/>
          <w:szCs w:val="18"/>
        </w:rPr>
        <w:t xml:space="preserve">were provided </w:t>
      </w:r>
      <w:r w:rsidRPr="000B1886">
        <w:rPr>
          <w:sz w:val="18"/>
          <w:szCs w:val="18"/>
        </w:rPr>
        <w:t xml:space="preserve">by the Data Helpdesk of the World Bank, in </w:t>
      </w:r>
      <w:hyperlink r:id="rId3" w:history="1">
        <w:r w:rsidRPr="000B1886">
          <w:rPr>
            <w:rStyle w:val="Hiperligao"/>
            <w:sz w:val="18"/>
            <w:szCs w:val="18"/>
          </w:rPr>
          <w:t>://datahelpdesk.worldbank.org/knowledgebase/articles/114947-what-is-the-difference-between-purchaser-prices-p</w:t>
        </w:r>
      </w:hyperlink>
      <w:r>
        <w:rPr>
          <w:sz w:val="18"/>
          <w:szCs w:val="18"/>
        </w:rPr>
        <w:t>.</w:t>
      </w:r>
    </w:p>
  </w:footnote>
  <w:footnote w:id="25">
    <w:p w:rsidR="0098614F" w:rsidRPr="00684A69" w:rsidRDefault="0098614F" w:rsidP="0025369F">
      <w:pPr>
        <w:pStyle w:val="Textodenotaderodap"/>
        <w:jc w:val="both"/>
        <w:rPr>
          <w:sz w:val="18"/>
          <w:szCs w:val="18"/>
          <w:lang w:val="en-US"/>
        </w:rPr>
      </w:pPr>
      <w:r w:rsidRPr="00684A69">
        <w:rPr>
          <w:rStyle w:val="Refdenotaderodap"/>
          <w:sz w:val="18"/>
          <w:szCs w:val="18"/>
        </w:rPr>
        <w:footnoteRef/>
      </w:r>
      <w:r w:rsidRPr="00684A69">
        <w:rPr>
          <w:sz w:val="18"/>
          <w:szCs w:val="18"/>
          <w:lang w:val="en-US"/>
        </w:rPr>
        <w:t xml:space="preserve"> For additional information </w:t>
      </w:r>
      <w:r>
        <w:rPr>
          <w:sz w:val="18"/>
          <w:szCs w:val="18"/>
          <w:lang w:val="en-US"/>
        </w:rPr>
        <w:t xml:space="preserve">about </w:t>
      </w:r>
      <w:r w:rsidRPr="00684A69">
        <w:rPr>
          <w:sz w:val="18"/>
          <w:szCs w:val="18"/>
          <w:lang w:val="en-US"/>
        </w:rPr>
        <w:t>how these internationally</w:t>
      </w:r>
      <w:r>
        <w:rPr>
          <w:sz w:val="18"/>
          <w:szCs w:val="18"/>
          <w:lang w:val="en-US"/>
        </w:rPr>
        <w:t>-</w:t>
      </w:r>
      <w:r w:rsidRPr="00684A69">
        <w:rPr>
          <w:sz w:val="18"/>
          <w:szCs w:val="18"/>
          <w:lang w:val="en-US"/>
        </w:rPr>
        <w:t xml:space="preserve">linked </w:t>
      </w:r>
      <w:r>
        <w:rPr>
          <w:sz w:val="18"/>
          <w:szCs w:val="18"/>
          <w:lang w:val="en-US"/>
        </w:rPr>
        <w:t xml:space="preserve">IO </w:t>
      </w:r>
      <w:r w:rsidRPr="00684A69">
        <w:rPr>
          <w:sz w:val="18"/>
          <w:szCs w:val="18"/>
          <w:lang w:val="en-US"/>
        </w:rPr>
        <w:t xml:space="preserve">matrices are built, see </w:t>
      </w:r>
      <w:r>
        <w:rPr>
          <w:sz w:val="18"/>
          <w:szCs w:val="18"/>
          <w:lang w:val="en-US"/>
        </w:rPr>
        <w:t xml:space="preserve">Yamano &amp; </w:t>
      </w:r>
      <w:r w:rsidRPr="00684A69">
        <w:rPr>
          <w:sz w:val="18"/>
          <w:szCs w:val="18"/>
          <w:lang w:val="en-US"/>
        </w:rPr>
        <w:t>A</w:t>
      </w:r>
      <w:r>
        <w:rPr>
          <w:sz w:val="18"/>
          <w:szCs w:val="18"/>
          <w:lang w:val="en-US"/>
        </w:rPr>
        <w:t>hmad</w:t>
      </w:r>
      <w:r w:rsidRPr="00684A69">
        <w:rPr>
          <w:sz w:val="18"/>
          <w:szCs w:val="18"/>
          <w:lang w:val="en-US"/>
        </w:rPr>
        <w:t xml:space="preserve"> (2006)</w:t>
      </w:r>
      <w:r>
        <w:rPr>
          <w:sz w:val="18"/>
          <w:szCs w:val="18"/>
          <w:lang w:val="en-US"/>
        </w:rPr>
        <w:t>;</w:t>
      </w:r>
      <w:r w:rsidRPr="00684A69">
        <w:rPr>
          <w:sz w:val="18"/>
          <w:szCs w:val="18"/>
          <w:lang w:val="en-US"/>
        </w:rPr>
        <w:t xml:space="preserve"> W</w:t>
      </w:r>
      <w:r>
        <w:rPr>
          <w:sz w:val="18"/>
          <w:szCs w:val="18"/>
          <w:lang w:val="en-US"/>
        </w:rPr>
        <w:t>ixted</w:t>
      </w:r>
      <w:r w:rsidRPr="00684A69">
        <w:rPr>
          <w:sz w:val="18"/>
          <w:szCs w:val="18"/>
          <w:lang w:val="en-US"/>
        </w:rPr>
        <w:t xml:space="preserve"> </w:t>
      </w:r>
      <w:r w:rsidRPr="008A6750">
        <w:rPr>
          <w:sz w:val="18"/>
          <w:szCs w:val="18"/>
          <w:lang w:val="en-US"/>
        </w:rPr>
        <w:t>et al</w:t>
      </w:r>
      <w:r w:rsidRPr="00684A69">
        <w:rPr>
          <w:sz w:val="18"/>
          <w:szCs w:val="18"/>
          <w:lang w:val="en-US"/>
        </w:rPr>
        <w:t xml:space="preserve"> (2006)</w:t>
      </w:r>
      <w:r>
        <w:rPr>
          <w:sz w:val="18"/>
          <w:szCs w:val="18"/>
          <w:lang w:val="en-US"/>
        </w:rPr>
        <w:t>;</w:t>
      </w:r>
      <w:r w:rsidRPr="00684A69">
        <w:rPr>
          <w:sz w:val="18"/>
          <w:szCs w:val="18"/>
          <w:lang w:val="en-US"/>
        </w:rPr>
        <w:t xml:space="preserve"> and T</w:t>
      </w:r>
      <w:r>
        <w:rPr>
          <w:sz w:val="18"/>
          <w:szCs w:val="18"/>
          <w:lang w:val="en-US"/>
        </w:rPr>
        <w:t>immer</w:t>
      </w:r>
      <w:r w:rsidRPr="00684A69">
        <w:rPr>
          <w:sz w:val="18"/>
          <w:szCs w:val="18"/>
          <w:lang w:val="en-US"/>
        </w:rPr>
        <w:t xml:space="preserve"> </w:t>
      </w:r>
      <w:r w:rsidRPr="008A6750">
        <w:rPr>
          <w:sz w:val="18"/>
          <w:szCs w:val="18"/>
          <w:lang w:val="en-US"/>
        </w:rPr>
        <w:t>et al</w:t>
      </w:r>
      <w:r w:rsidRPr="00684A69">
        <w:rPr>
          <w:sz w:val="18"/>
          <w:szCs w:val="18"/>
          <w:lang w:val="en-US"/>
        </w:rPr>
        <w:t xml:space="preserve"> (2012</w:t>
      </w:r>
      <w:r>
        <w:rPr>
          <w:sz w:val="18"/>
          <w:szCs w:val="18"/>
          <w:lang w:val="en-US"/>
        </w:rPr>
        <w:t>a</w:t>
      </w:r>
      <w:r w:rsidRPr="00684A69">
        <w:rPr>
          <w:sz w:val="18"/>
          <w:szCs w:val="18"/>
          <w:lang w:val="en-US"/>
        </w:rPr>
        <w:t>).</w:t>
      </w:r>
    </w:p>
  </w:footnote>
  <w:footnote w:id="26">
    <w:p w:rsidR="0098614F" w:rsidRPr="001F3EB0" w:rsidRDefault="0098614F" w:rsidP="001F3EB0">
      <w:pPr>
        <w:pStyle w:val="Textodenotaderodap"/>
        <w:jc w:val="both"/>
        <w:rPr>
          <w:sz w:val="18"/>
          <w:szCs w:val="18"/>
        </w:rPr>
      </w:pPr>
      <w:r w:rsidRPr="001F3EB0">
        <w:rPr>
          <w:rStyle w:val="Refdenotaderodap"/>
          <w:sz w:val="18"/>
          <w:szCs w:val="18"/>
        </w:rPr>
        <w:footnoteRef/>
      </w:r>
      <w:r w:rsidRPr="001F3EB0">
        <w:rPr>
          <w:sz w:val="18"/>
          <w:szCs w:val="18"/>
        </w:rPr>
        <w:t xml:space="preserve"> </w:t>
      </w:r>
      <w:r w:rsidRPr="001F3EB0">
        <w:rPr>
          <w:sz w:val="18"/>
          <w:szCs w:val="18"/>
          <w:lang w:val="en-US"/>
        </w:rPr>
        <w:t xml:space="preserve">See OECD </w:t>
      </w:r>
      <w:r>
        <w:rPr>
          <w:sz w:val="18"/>
          <w:szCs w:val="18"/>
          <w:lang w:val="en-US"/>
        </w:rPr>
        <w:t>&amp;</w:t>
      </w:r>
      <w:r w:rsidRPr="001F3EB0">
        <w:rPr>
          <w:sz w:val="18"/>
          <w:szCs w:val="18"/>
          <w:lang w:val="en-US"/>
        </w:rPr>
        <w:t xml:space="preserve"> WTO (2012, p. 22) for an exhaustive list of on-going projects building new internationally-linked IO tables.</w:t>
      </w:r>
    </w:p>
  </w:footnote>
  <w:footnote w:id="27">
    <w:p w:rsidR="0098614F" w:rsidRPr="001F3EB0" w:rsidRDefault="0098614F" w:rsidP="00E17AF4">
      <w:pPr>
        <w:pStyle w:val="Textodenotaderodap"/>
        <w:jc w:val="both"/>
        <w:rPr>
          <w:sz w:val="18"/>
          <w:szCs w:val="18"/>
        </w:rPr>
      </w:pPr>
      <w:r w:rsidRPr="001F3EB0">
        <w:rPr>
          <w:rStyle w:val="Refdenotaderodap"/>
          <w:sz w:val="18"/>
          <w:szCs w:val="18"/>
        </w:rPr>
        <w:footnoteRef/>
      </w:r>
      <w:r w:rsidRPr="001F3EB0">
        <w:rPr>
          <w:sz w:val="18"/>
          <w:szCs w:val="18"/>
        </w:rPr>
        <w:t xml:space="preserve"> </w:t>
      </w:r>
      <w:r w:rsidRPr="001F3EB0">
        <w:rPr>
          <w:sz w:val="18"/>
          <w:szCs w:val="18"/>
          <w:lang w:val="en-US"/>
        </w:rPr>
        <w:t>Namely for Austria, Belgium, Denmark, Finland, Germany, Ireland, Italy, the Netherlands, and Sweden.</w:t>
      </w:r>
    </w:p>
  </w:footnote>
  <w:footnote w:id="28">
    <w:p w:rsidR="0098614F" w:rsidRPr="001F5E34" w:rsidRDefault="0098614F" w:rsidP="001F5E34">
      <w:pPr>
        <w:pStyle w:val="Textodenotaderodap"/>
        <w:jc w:val="both"/>
        <w:rPr>
          <w:sz w:val="18"/>
          <w:szCs w:val="18"/>
        </w:rPr>
      </w:pPr>
      <w:r w:rsidRPr="001F5E34">
        <w:rPr>
          <w:rStyle w:val="Refdenotaderodap"/>
          <w:sz w:val="18"/>
          <w:szCs w:val="18"/>
        </w:rPr>
        <w:footnoteRef/>
      </w:r>
      <w:r w:rsidRPr="001F5E34">
        <w:rPr>
          <w:sz w:val="18"/>
          <w:szCs w:val="18"/>
        </w:rPr>
        <w:t xml:space="preserve"> </w:t>
      </w:r>
      <w:r w:rsidRPr="001F5E34">
        <w:rPr>
          <w:sz w:val="18"/>
          <w:szCs w:val="18"/>
          <w:lang w:val="en-US"/>
        </w:rPr>
        <w:t xml:space="preserve">See Lenzen et al (2012). This database, which is part of UNCTAD’s overall Information System for FDI, transnational corporations and GVCs, provides information on the distribution of value-added, on income and employment resulting from trade, and on how TiVA is influenced by global investment trends. Its TiVA data </w:t>
      </w:r>
      <w:r>
        <w:rPr>
          <w:sz w:val="18"/>
          <w:szCs w:val="18"/>
          <w:lang w:val="en-US"/>
        </w:rPr>
        <w:t>are</w:t>
      </w:r>
      <w:r w:rsidRPr="001F5E34">
        <w:rPr>
          <w:sz w:val="18"/>
          <w:szCs w:val="18"/>
          <w:lang w:val="en-US"/>
        </w:rPr>
        <w:t xml:space="preserve"> derived from the EORA global multi-region input-output (MRIO) table. When compared to other internationally linked IO databases, we could conclude that the primary objectives of the UNCTAD-EORA GVC database were </w:t>
      </w:r>
      <w:r>
        <w:rPr>
          <w:sz w:val="18"/>
          <w:szCs w:val="18"/>
          <w:lang w:val="en-US"/>
        </w:rPr>
        <w:br/>
      </w:r>
      <w:r w:rsidRPr="001F5E34">
        <w:rPr>
          <w:sz w:val="18"/>
          <w:szCs w:val="18"/>
          <w:lang w:val="en-US"/>
        </w:rPr>
        <w:t>(i) extended coverage, and (ii) providing a developing-country perspective, while WIOD sacrificed some larger coverage of countries, industries and time in exchange for higher statistical rigor.</w:t>
      </w:r>
    </w:p>
  </w:footnote>
  <w:footnote w:id="29">
    <w:p w:rsidR="0098614F" w:rsidRPr="000445BE" w:rsidRDefault="0098614F" w:rsidP="000445BE">
      <w:pPr>
        <w:pStyle w:val="Textodenotaderodap"/>
        <w:jc w:val="both"/>
        <w:rPr>
          <w:lang w:val="pt-PT"/>
        </w:rPr>
      </w:pPr>
      <w:r>
        <w:rPr>
          <w:rStyle w:val="Refdenotaderodap"/>
        </w:rPr>
        <w:footnoteRef/>
      </w:r>
      <w:r>
        <w:t xml:space="preserve"> </w:t>
      </w:r>
      <w:r>
        <w:rPr>
          <w:sz w:val="18"/>
          <w:szCs w:val="18"/>
        </w:rPr>
        <w:t xml:space="preserve">Namely: </w:t>
      </w:r>
      <w:r w:rsidRPr="003A3B50">
        <w:rPr>
          <w:sz w:val="18"/>
          <w:szCs w:val="18"/>
        </w:rPr>
        <w:t xml:space="preserve">Argentina, Australia, Austria, Belgium, Brazil, Brunei Darussalam, Bulgaria, Cambodia, Canada, Chile, </w:t>
      </w:r>
      <w:r>
        <w:rPr>
          <w:sz w:val="18"/>
          <w:szCs w:val="18"/>
        </w:rPr>
        <w:t>the PRC</w:t>
      </w:r>
      <w:r w:rsidRPr="003A3B50">
        <w:rPr>
          <w:sz w:val="18"/>
          <w:szCs w:val="18"/>
        </w:rPr>
        <w:t xml:space="preserve">, </w:t>
      </w:r>
      <w:r>
        <w:rPr>
          <w:sz w:val="18"/>
          <w:szCs w:val="18"/>
        </w:rPr>
        <w:t xml:space="preserve">the </w:t>
      </w:r>
      <w:r w:rsidRPr="003A3B50">
        <w:rPr>
          <w:sz w:val="18"/>
          <w:szCs w:val="18"/>
        </w:rPr>
        <w:t xml:space="preserve">Czech Republic, Denmark, Estonia, Finland, France, Germany, Greece, Hong Kong, Hungary, Iceland, India, Indonesia, Ireland, Israel, Italy, Japan, Latvia, Lithuania, Luxembourg, Malaysia, Malta, Mexico, </w:t>
      </w:r>
      <w:r>
        <w:rPr>
          <w:sz w:val="18"/>
          <w:szCs w:val="18"/>
        </w:rPr>
        <w:t xml:space="preserve">the </w:t>
      </w:r>
      <w:r w:rsidRPr="003A3B50">
        <w:rPr>
          <w:sz w:val="18"/>
          <w:szCs w:val="18"/>
        </w:rPr>
        <w:t xml:space="preserve">Netherlands, New Zealand, Norway, Philippines, Poland, </w:t>
      </w:r>
      <w:r w:rsidRPr="00ED2325">
        <w:rPr>
          <w:sz w:val="18"/>
          <w:szCs w:val="18"/>
        </w:rPr>
        <w:t>Portugal, Romania, Russia, Saudi Arabia, Singapore, Slovak</w:t>
      </w:r>
      <w:r>
        <w:rPr>
          <w:sz w:val="18"/>
          <w:szCs w:val="18"/>
        </w:rPr>
        <w:t>ia</w:t>
      </w:r>
      <w:r w:rsidRPr="00ED2325">
        <w:rPr>
          <w:sz w:val="18"/>
          <w:szCs w:val="18"/>
        </w:rPr>
        <w:t xml:space="preserve">, Slovenia, South Africa, South Korea, Spain, Sweden, Switzerland, Taiwan, Thailand, Turkey, </w:t>
      </w:r>
      <w:r>
        <w:rPr>
          <w:sz w:val="18"/>
          <w:szCs w:val="18"/>
        </w:rPr>
        <w:t>the UK</w:t>
      </w:r>
      <w:r w:rsidRPr="00ED2325">
        <w:rPr>
          <w:sz w:val="18"/>
          <w:szCs w:val="18"/>
        </w:rPr>
        <w:t xml:space="preserve">, </w:t>
      </w:r>
      <w:r>
        <w:rPr>
          <w:sz w:val="18"/>
          <w:szCs w:val="18"/>
        </w:rPr>
        <w:t>the US and Viet N</w:t>
      </w:r>
      <w:r w:rsidRPr="00ED2325">
        <w:rPr>
          <w:sz w:val="18"/>
          <w:szCs w:val="18"/>
        </w:rPr>
        <w:t>am</w:t>
      </w:r>
      <w:r>
        <w:rPr>
          <w:sz w:val="18"/>
          <w:szCs w:val="18"/>
        </w:rPr>
        <w:t xml:space="preserve"> (plus the RoW)</w:t>
      </w:r>
      <w:r w:rsidRPr="00ED2325">
        <w:rPr>
          <w:sz w:val="18"/>
          <w:szCs w:val="18"/>
        </w:rPr>
        <w:t>.</w:t>
      </w:r>
    </w:p>
  </w:footnote>
  <w:footnote w:id="30">
    <w:p w:rsidR="0098614F" w:rsidRPr="0030327A" w:rsidRDefault="0098614F" w:rsidP="0030327A">
      <w:pPr>
        <w:pStyle w:val="Textodenotaderodap"/>
        <w:rPr>
          <w:lang w:val="pt-PT"/>
        </w:rPr>
      </w:pPr>
      <w:r>
        <w:rPr>
          <w:rStyle w:val="Refdenotaderodap"/>
        </w:rPr>
        <w:footnoteRef/>
      </w:r>
      <w:r>
        <w:t xml:space="preserve"> </w:t>
      </w:r>
      <w:r>
        <w:rPr>
          <w:sz w:val="18"/>
          <w:szCs w:val="18"/>
        </w:rPr>
        <w:t>Including seven service sectors.</w:t>
      </w:r>
    </w:p>
  </w:footnote>
  <w:footnote w:id="31">
    <w:p w:rsidR="0098614F" w:rsidRPr="0030327A" w:rsidRDefault="0098614F" w:rsidP="0030327A">
      <w:pPr>
        <w:pStyle w:val="Textodenotaderodap"/>
        <w:jc w:val="both"/>
        <w:rPr>
          <w:lang w:val="pt-PT"/>
        </w:rPr>
      </w:pPr>
      <w:r>
        <w:rPr>
          <w:rStyle w:val="Refdenotaderodap"/>
        </w:rPr>
        <w:footnoteRef/>
      </w:r>
      <w:r>
        <w:t xml:space="preserve"> </w:t>
      </w:r>
      <w:r>
        <w:rPr>
          <w:sz w:val="18"/>
          <w:szCs w:val="18"/>
        </w:rPr>
        <w:t xml:space="preserve">Namely </w:t>
      </w:r>
      <w:r w:rsidRPr="003A3B50">
        <w:rPr>
          <w:sz w:val="18"/>
          <w:szCs w:val="18"/>
        </w:rPr>
        <w:t xml:space="preserve">the </w:t>
      </w:r>
      <w:r>
        <w:rPr>
          <w:sz w:val="18"/>
          <w:szCs w:val="18"/>
        </w:rPr>
        <w:t xml:space="preserve">EU-27 </w:t>
      </w:r>
      <w:r w:rsidRPr="003A3B50">
        <w:rPr>
          <w:sz w:val="18"/>
          <w:szCs w:val="18"/>
        </w:rPr>
        <w:t xml:space="preserve">and 13 other major </w:t>
      </w:r>
      <w:r>
        <w:rPr>
          <w:sz w:val="18"/>
          <w:szCs w:val="18"/>
        </w:rPr>
        <w:t xml:space="preserve">developed and emerging countries: </w:t>
      </w:r>
      <w:r w:rsidRPr="003A3B50">
        <w:rPr>
          <w:sz w:val="18"/>
          <w:szCs w:val="18"/>
        </w:rPr>
        <w:t xml:space="preserve">Australia, Brazil, Canada, </w:t>
      </w:r>
      <w:r>
        <w:rPr>
          <w:sz w:val="18"/>
          <w:szCs w:val="18"/>
        </w:rPr>
        <w:t>the PRC</w:t>
      </w:r>
      <w:r w:rsidRPr="003A3B50">
        <w:rPr>
          <w:sz w:val="18"/>
          <w:szCs w:val="18"/>
        </w:rPr>
        <w:t xml:space="preserve">, India, Indonesia, Japan, Mexico, Russia, South Korea, Taiwan, Turkey and </w:t>
      </w:r>
      <w:r>
        <w:rPr>
          <w:sz w:val="18"/>
          <w:szCs w:val="18"/>
        </w:rPr>
        <w:t xml:space="preserve">the </w:t>
      </w:r>
      <w:r w:rsidRPr="003A3B50">
        <w:rPr>
          <w:sz w:val="18"/>
          <w:szCs w:val="18"/>
        </w:rPr>
        <w:t>US</w:t>
      </w:r>
      <w:r>
        <w:rPr>
          <w:sz w:val="18"/>
          <w:szCs w:val="18"/>
        </w:rPr>
        <w:t xml:space="preserve">. </w:t>
      </w:r>
      <w:r w:rsidRPr="003D4757">
        <w:rPr>
          <w:sz w:val="18"/>
          <w:szCs w:val="18"/>
          <w:lang w:val="en-US"/>
        </w:rPr>
        <w:t>These economies represented 83.6% of the world</w:t>
      </w:r>
      <w:r>
        <w:rPr>
          <w:sz w:val="18"/>
          <w:szCs w:val="18"/>
          <w:lang w:val="en-US"/>
        </w:rPr>
        <w:t>’s</w:t>
      </w:r>
      <w:r w:rsidRPr="003D4757">
        <w:rPr>
          <w:sz w:val="18"/>
          <w:szCs w:val="18"/>
          <w:lang w:val="en-US"/>
        </w:rPr>
        <w:t xml:space="preserve"> GDP and 77.8% of trade flows in 2012 (World Bank, 2015a).</w:t>
      </w:r>
    </w:p>
  </w:footnote>
  <w:footnote w:id="32">
    <w:p w:rsidR="0098614F" w:rsidRPr="0030327A" w:rsidRDefault="0098614F">
      <w:pPr>
        <w:pStyle w:val="Textodenotaderodap"/>
        <w:rPr>
          <w:lang w:val="pt-PT"/>
        </w:rPr>
      </w:pPr>
      <w:r>
        <w:rPr>
          <w:rStyle w:val="Refdenotaderodap"/>
        </w:rPr>
        <w:footnoteRef/>
      </w:r>
      <w:r>
        <w:t xml:space="preserve"> </w:t>
      </w:r>
      <w:r>
        <w:rPr>
          <w:sz w:val="18"/>
          <w:szCs w:val="18"/>
        </w:rPr>
        <w:t>Including 18 service sectors.</w:t>
      </w:r>
      <w:r w:rsidRPr="003A3B50">
        <w:rPr>
          <w:sz w:val="18"/>
          <w:szCs w:val="18"/>
        </w:rPr>
        <w:t xml:space="preserve"> </w:t>
      </w:r>
      <w:r>
        <w:rPr>
          <w:sz w:val="18"/>
          <w:szCs w:val="18"/>
        </w:rPr>
        <w:t>See annex B for a full list.</w:t>
      </w:r>
    </w:p>
  </w:footnote>
  <w:footnote w:id="33">
    <w:p w:rsidR="0098614F" w:rsidRPr="001F3EB0" w:rsidRDefault="0098614F" w:rsidP="001F3EB0">
      <w:pPr>
        <w:pStyle w:val="Textodenotaderodap"/>
        <w:jc w:val="both"/>
        <w:rPr>
          <w:sz w:val="18"/>
          <w:szCs w:val="18"/>
          <w:lang w:val="en-US"/>
        </w:rPr>
      </w:pPr>
      <w:r w:rsidRPr="001F3EB0">
        <w:rPr>
          <w:rStyle w:val="Refdenotaderodap"/>
          <w:sz w:val="18"/>
          <w:szCs w:val="18"/>
        </w:rPr>
        <w:footnoteRef/>
      </w:r>
      <w:r w:rsidRPr="001F3EB0">
        <w:rPr>
          <w:sz w:val="18"/>
          <w:szCs w:val="18"/>
          <w:lang w:val="en-US"/>
        </w:rPr>
        <w:t xml:space="preserve"> Those standard deviations reflect the extent to which that specific value was contested, interpolated, or estimated, during the process of assembling the global MRIO from constituent primary data sources.</w:t>
      </w:r>
    </w:p>
  </w:footnote>
  <w:footnote w:id="34">
    <w:p w:rsidR="0098614F" w:rsidRPr="00ED2325" w:rsidRDefault="0098614F" w:rsidP="000445BE">
      <w:pPr>
        <w:pStyle w:val="Textodenotaderodap"/>
        <w:jc w:val="both"/>
        <w:rPr>
          <w:sz w:val="18"/>
          <w:szCs w:val="18"/>
        </w:rPr>
      </w:pPr>
      <w:r w:rsidRPr="003A3B50">
        <w:rPr>
          <w:rStyle w:val="Refdenotaderodap"/>
          <w:sz w:val="18"/>
          <w:szCs w:val="18"/>
        </w:rPr>
        <w:footnoteRef/>
      </w:r>
      <w:r w:rsidRPr="003A3B50">
        <w:rPr>
          <w:sz w:val="18"/>
          <w:szCs w:val="18"/>
        </w:rPr>
        <w:t xml:space="preserve"> </w:t>
      </w:r>
      <w:r>
        <w:rPr>
          <w:sz w:val="18"/>
          <w:szCs w:val="18"/>
        </w:rPr>
        <w:t xml:space="preserve">OECD’s </w:t>
      </w:r>
      <w:r>
        <w:rPr>
          <w:rStyle w:val="apple-converted-space"/>
          <w:color w:val="222222"/>
          <w:sz w:val="18"/>
          <w:szCs w:val="18"/>
          <w:shd w:val="clear" w:color="auto" w:fill="FFFFFF"/>
        </w:rPr>
        <w:t>IO tables</w:t>
      </w:r>
      <w:r w:rsidRPr="00ED2325">
        <w:rPr>
          <w:rStyle w:val="apple-converted-space"/>
          <w:color w:val="222222"/>
          <w:sz w:val="18"/>
          <w:szCs w:val="18"/>
          <w:shd w:val="clear" w:color="auto" w:fill="FFFFFF"/>
        </w:rPr>
        <w:t xml:space="preserve"> </w:t>
      </w:r>
      <w:r>
        <w:rPr>
          <w:color w:val="222222"/>
          <w:sz w:val="18"/>
          <w:szCs w:val="18"/>
          <w:shd w:val="clear" w:color="auto" w:fill="FFFFFF"/>
        </w:rPr>
        <w:t>we</w:t>
      </w:r>
      <w:r w:rsidRPr="00ED2325">
        <w:rPr>
          <w:color w:val="222222"/>
          <w:sz w:val="18"/>
          <w:szCs w:val="18"/>
          <w:shd w:val="clear" w:color="auto" w:fill="FFFFFF"/>
        </w:rPr>
        <w:t>re integrated into a global system using additional information on</w:t>
      </w:r>
      <w:r w:rsidRPr="00ED2325">
        <w:rPr>
          <w:rStyle w:val="apple-converted-space"/>
          <w:color w:val="222222"/>
          <w:sz w:val="18"/>
          <w:szCs w:val="18"/>
          <w:shd w:val="clear" w:color="auto" w:fill="FFFFFF"/>
        </w:rPr>
        <w:t xml:space="preserve"> </w:t>
      </w:r>
      <w:r>
        <w:rPr>
          <w:rStyle w:val="apple-converted-space"/>
          <w:color w:val="222222"/>
          <w:sz w:val="18"/>
          <w:szCs w:val="18"/>
          <w:shd w:val="clear" w:color="auto" w:fill="FFFFFF"/>
        </w:rPr>
        <w:t>b</w:t>
      </w:r>
      <w:r w:rsidRPr="00ED2325">
        <w:rPr>
          <w:rStyle w:val="apple-converted-space"/>
          <w:color w:val="222222"/>
          <w:sz w:val="18"/>
          <w:szCs w:val="18"/>
          <w:shd w:val="clear" w:color="auto" w:fill="FFFFFF"/>
        </w:rPr>
        <w:t xml:space="preserve">ilateral </w:t>
      </w:r>
      <w:r>
        <w:rPr>
          <w:rStyle w:val="apple-converted-space"/>
          <w:color w:val="222222"/>
          <w:sz w:val="18"/>
          <w:szCs w:val="18"/>
          <w:shd w:val="clear" w:color="auto" w:fill="FFFFFF"/>
        </w:rPr>
        <w:t>t</w:t>
      </w:r>
      <w:r w:rsidRPr="00ED2325">
        <w:rPr>
          <w:rStyle w:val="apple-converted-space"/>
          <w:color w:val="222222"/>
          <w:sz w:val="18"/>
          <w:szCs w:val="18"/>
          <w:shd w:val="clear" w:color="auto" w:fill="FFFFFF"/>
        </w:rPr>
        <w:t xml:space="preserve">rade in goods by </w:t>
      </w:r>
      <w:r>
        <w:rPr>
          <w:rStyle w:val="apple-converted-space"/>
          <w:color w:val="222222"/>
          <w:sz w:val="18"/>
          <w:szCs w:val="18"/>
          <w:shd w:val="clear" w:color="auto" w:fill="FFFFFF"/>
        </w:rPr>
        <w:t>industry and e</w:t>
      </w:r>
      <w:r w:rsidRPr="00ED2325">
        <w:rPr>
          <w:rStyle w:val="apple-converted-space"/>
          <w:color w:val="222222"/>
          <w:sz w:val="18"/>
          <w:szCs w:val="18"/>
          <w:shd w:val="clear" w:color="auto" w:fill="FFFFFF"/>
        </w:rPr>
        <w:t xml:space="preserve">nd-use </w:t>
      </w:r>
      <w:r w:rsidRPr="00ED2325">
        <w:rPr>
          <w:color w:val="222222"/>
          <w:sz w:val="18"/>
          <w:szCs w:val="18"/>
          <w:shd w:val="clear" w:color="auto" w:fill="FFFFFF"/>
        </w:rPr>
        <w:t xml:space="preserve">(BTDIxE) - </w:t>
      </w:r>
      <w:hyperlink r:id="rId4" w:history="1">
        <w:r w:rsidRPr="00ED2325">
          <w:rPr>
            <w:rStyle w:val="Hiperligao"/>
            <w:sz w:val="18"/>
            <w:szCs w:val="18"/>
            <w:shd w:val="clear" w:color="auto" w:fill="FFFFFF"/>
          </w:rPr>
          <w:t>www.oecd.org/trade/bilateraltradeingoodsbyindustryandend-usecategory.htm</w:t>
        </w:r>
      </w:hyperlink>
      <w:r w:rsidRPr="00ED2325">
        <w:rPr>
          <w:color w:val="222222"/>
          <w:sz w:val="18"/>
          <w:szCs w:val="18"/>
          <w:shd w:val="clear" w:color="auto" w:fill="FFFFFF"/>
        </w:rPr>
        <w:t xml:space="preserve"> -, International Trade in Services (TIS) - </w:t>
      </w:r>
      <w:hyperlink r:id="rId5" w:history="1">
        <w:r w:rsidRPr="00ED2325">
          <w:rPr>
            <w:rStyle w:val="Hiperligao"/>
            <w:sz w:val="18"/>
            <w:szCs w:val="18"/>
            <w:shd w:val="clear" w:color="auto" w:fill="FFFFFF"/>
          </w:rPr>
          <w:t>www.oecd.org/trade/its/oecdstatisticsoninternationaltradeinservicesdetailedtablesbypartnercountry2004-20072009edition.htm</w:t>
        </w:r>
      </w:hyperlink>
      <w:r w:rsidRPr="00ED2325">
        <w:rPr>
          <w:color w:val="222222"/>
          <w:sz w:val="18"/>
          <w:szCs w:val="18"/>
          <w:shd w:val="clear" w:color="auto" w:fill="FFFFFF"/>
        </w:rPr>
        <w:t xml:space="preserve">, and Structural Analysis (STAN) industry - </w:t>
      </w:r>
      <w:hyperlink r:id="rId6" w:history="1">
        <w:r w:rsidRPr="00ED2325">
          <w:rPr>
            <w:rStyle w:val="Hiperligao"/>
            <w:sz w:val="18"/>
            <w:szCs w:val="18"/>
            <w:shd w:val="clear" w:color="auto" w:fill="FFFFFF"/>
          </w:rPr>
          <w:t>www.oecd.org/industry/ind/stanstructuralanalysisdatabase.htm</w:t>
        </w:r>
      </w:hyperlink>
      <w:r w:rsidRPr="00ED2325">
        <w:rPr>
          <w:color w:val="222222"/>
          <w:sz w:val="18"/>
          <w:szCs w:val="18"/>
          <w:shd w:val="clear" w:color="auto" w:fill="FFFFFF"/>
        </w:rPr>
        <w:t xml:space="preserve"> - databases.</w:t>
      </w:r>
      <w:r>
        <w:rPr>
          <w:color w:val="222222"/>
          <w:sz w:val="18"/>
          <w:szCs w:val="18"/>
          <w:shd w:val="clear" w:color="auto" w:fill="FFFFFF"/>
        </w:rPr>
        <w:t xml:space="preserve"> </w:t>
      </w:r>
    </w:p>
  </w:footnote>
  <w:footnote w:id="35">
    <w:p w:rsidR="0098614F" w:rsidRPr="003A3B50" w:rsidRDefault="0098614F" w:rsidP="00AE06D2">
      <w:pPr>
        <w:pStyle w:val="Textodenotaderodap"/>
        <w:jc w:val="both"/>
        <w:rPr>
          <w:sz w:val="18"/>
          <w:szCs w:val="18"/>
        </w:rPr>
      </w:pPr>
      <w:r w:rsidRPr="003A3B50">
        <w:rPr>
          <w:rStyle w:val="Refdenotaderodap"/>
          <w:sz w:val="18"/>
          <w:szCs w:val="18"/>
        </w:rPr>
        <w:footnoteRef/>
      </w:r>
      <w:r w:rsidRPr="003A3B50">
        <w:rPr>
          <w:sz w:val="18"/>
          <w:szCs w:val="18"/>
        </w:rPr>
        <w:t xml:space="preserve"> </w:t>
      </w:r>
      <w:r>
        <w:rPr>
          <w:sz w:val="18"/>
          <w:szCs w:val="18"/>
        </w:rPr>
        <w:t xml:space="preserve">Note that </w:t>
      </w:r>
      <w:r w:rsidRPr="003A3B50">
        <w:rPr>
          <w:sz w:val="18"/>
          <w:szCs w:val="18"/>
        </w:rPr>
        <w:t>most of the data result</w:t>
      </w:r>
      <w:r>
        <w:rPr>
          <w:sz w:val="18"/>
          <w:szCs w:val="18"/>
        </w:rPr>
        <w:t>ed</w:t>
      </w:r>
      <w:r w:rsidRPr="003A3B50">
        <w:rPr>
          <w:sz w:val="18"/>
          <w:szCs w:val="18"/>
        </w:rPr>
        <w:t xml:space="preserve"> from interpolation</w:t>
      </w:r>
      <w:r>
        <w:rPr>
          <w:sz w:val="18"/>
          <w:szCs w:val="18"/>
        </w:rPr>
        <w:t xml:space="preserve"> by using national accounts and supply-use annual tables, namely the OECD's Bilateral Trade and Trade in Services databases</w:t>
      </w:r>
      <w:r w:rsidRPr="003A3B50">
        <w:rPr>
          <w:sz w:val="18"/>
          <w:szCs w:val="18"/>
        </w:rPr>
        <w:t xml:space="preserve">, since national </w:t>
      </w:r>
      <w:r>
        <w:rPr>
          <w:sz w:val="18"/>
          <w:szCs w:val="18"/>
        </w:rPr>
        <w:t xml:space="preserve">IO </w:t>
      </w:r>
      <w:r w:rsidRPr="003A3B50">
        <w:rPr>
          <w:sz w:val="18"/>
          <w:szCs w:val="18"/>
        </w:rPr>
        <w:t xml:space="preserve">databases </w:t>
      </w:r>
      <w:r>
        <w:rPr>
          <w:sz w:val="18"/>
          <w:szCs w:val="18"/>
        </w:rPr>
        <w:t>we</w:t>
      </w:r>
      <w:r w:rsidRPr="003A3B50">
        <w:rPr>
          <w:sz w:val="18"/>
          <w:szCs w:val="18"/>
        </w:rPr>
        <w:t>re only available for 1995, 2000, 2005</w:t>
      </w:r>
      <w:r>
        <w:rPr>
          <w:sz w:val="18"/>
          <w:szCs w:val="18"/>
        </w:rPr>
        <w:t>,</w:t>
      </w:r>
      <w:r w:rsidRPr="003A3B50">
        <w:rPr>
          <w:sz w:val="18"/>
          <w:szCs w:val="18"/>
        </w:rPr>
        <w:t xml:space="preserve"> </w:t>
      </w:r>
      <w:r>
        <w:rPr>
          <w:sz w:val="18"/>
          <w:szCs w:val="18"/>
        </w:rPr>
        <w:t xml:space="preserve">and </w:t>
      </w:r>
      <w:r w:rsidRPr="003A3B50">
        <w:rPr>
          <w:sz w:val="18"/>
          <w:szCs w:val="18"/>
        </w:rPr>
        <w:t xml:space="preserve">2009. </w:t>
      </w:r>
      <w:r>
        <w:rPr>
          <w:sz w:val="18"/>
          <w:szCs w:val="18"/>
        </w:rPr>
        <w:t>Prices are constant and allow for Purchasing Power Parity-conversion. See Timmer</w:t>
      </w:r>
      <w:r w:rsidRPr="003A3B50">
        <w:rPr>
          <w:sz w:val="18"/>
          <w:szCs w:val="18"/>
        </w:rPr>
        <w:t xml:space="preserve"> </w:t>
      </w:r>
      <w:r w:rsidRPr="00AD6F5B">
        <w:rPr>
          <w:sz w:val="18"/>
          <w:szCs w:val="18"/>
        </w:rPr>
        <w:t>et al</w:t>
      </w:r>
      <w:r w:rsidRPr="003A3B50">
        <w:rPr>
          <w:sz w:val="18"/>
          <w:szCs w:val="18"/>
        </w:rPr>
        <w:t xml:space="preserve"> (2012</w:t>
      </w:r>
      <w:r>
        <w:rPr>
          <w:sz w:val="18"/>
          <w:szCs w:val="18"/>
        </w:rPr>
        <w:t>c</w:t>
      </w:r>
      <w:r w:rsidRPr="003A3B50">
        <w:rPr>
          <w:sz w:val="18"/>
          <w:szCs w:val="18"/>
        </w:rPr>
        <w:t>)</w:t>
      </w:r>
      <w:r>
        <w:rPr>
          <w:sz w:val="18"/>
          <w:szCs w:val="18"/>
        </w:rPr>
        <w:t xml:space="preserve"> f</w:t>
      </w:r>
      <w:r w:rsidRPr="003A3B50">
        <w:rPr>
          <w:sz w:val="18"/>
          <w:szCs w:val="18"/>
        </w:rPr>
        <w:t xml:space="preserve">or more </w:t>
      </w:r>
      <w:r>
        <w:rPr>
          <w:sz w:val="18"/>
          <w:szCs w:val="18"/>
        </w:rPr>
        <w:t xml:space="preserve">detailed </w:t>
      </w:r>
      <w:r w:rsidRPr="003A3B50">
        <w:rPr>
          <w:sz w:val="18"/>
          <w:szCs w:val="18"/>
        </w:rPr>
        <w:t xml:space="preserve">information </w:t>
      </w:r>
      <w:r>
        <w:rPr>
          <w:sz w:val="18"/>
          <w:szCs w:val="18"/>
        </w:rPr>
        <w:t xml:space="preserve">about </w:t>
      </w:r>
      <w:r w:rsidRPr="003A3B50">
        <w:rPr>
          <w:sz w:val="18"/>
          <w:szCs w:val="18"/>
        </w:rPr>
        <w:t xml:space="preserve">how </w:t>
      </w:r>
      <w:r>
        <w:rPr>
          <w:sz w:val="18"/>
          <w:szCs w:val="18"/>
        </w:rPr>
        <w:t>the WIOD was built</w:t>
      </w:r>
      <w:r w:rsidRPr="003A3B50">
        <w:rPr>
          <w:sz w:val="18"/>
          <w:szCs w:val="18"/>
        </w:rPr>
        <w:t>.</w:t>
      </w:r>
    </w:p>
  </w:footnote>
  <w:footnote w:id="36">
    <w:p w:rsidR="0098614F" w:rsidRPr="00875909" w:rsidRDefault="0098614F" w:rsidP="001F5E34">
      <w:pPr>
        <w:pStyle w:val="Textodenotaderodap"/>
        <w:jc w:val="both"/>
        <w:rPr>
          <w:sz w:val="18"/>
          <w:szCs w:val="18"/>
        </w:rPr>
      </w:pPr>
      <w:r w:rsidRPr="00875909">
        <w:rPr>
          <w:rStyle w:val="Refdenotaderodap"/>
          <w:sz w:val="18"/>
          <w:szCs w:val="18"/>
        </w:rPr>
        <w:footnoteRef/>
      </w:r>
      <w:r w:rsidRPr="00875909">
        <w:rPr>
          <w:sz w:val="18"/>
          <w:szCs w:val="18"/>
        </w:rPr>
        <w:t xml:space="preserve"> See OECD </w:t>
      </w:r>
      <w:r>
        <w:rPr>
          <w:sz w:val="18"/>
          <w:szCs w:val="18"/>
        </w:rPr>
        <w:t xml:space="preserve">&amp; </w:t>
      </w:r>
      <w:r w:rsidRPr="00875909">
        <w:rPr>
          <w:sz w:val="18"/>
          <w:szCs w:val="18"/>
        </w:rPr>
        <w:t>WTO (2012, p</w:t>
      </w:r>
      <w:r>
        <w:rPr>
          <w:sz w:val="18"/>
          <w:szCs w:val="18"/>
        </w:rPr>
        <w:t>p</w:t>
      </w:r>
      <w:r w:rsidRPr="00875909">
        <w:rPr>
          <w:sz w:val="18"/>
          <w:szCs w:val="18"/>
        </w:rPr>
        <w:t xml:space="preserve">. 16-17) for a </w:t>
      </w:r>
      <w:r>
        <w:rPr>
          <w:sz w:val="18"/>
          <w:szCs w:val="18"/>
        </w:rPr>
        <w:t xml:space="preserve">more </w:t>
      </w:r>
      <w:r w:rsidRPr="00875909">
        <w:rPr>
          <w:sz w:val="18"/>
          <w:szCs w:val="18"/>
        </w:rPr>
        <w:t xml:space="preserve">detailed explanation of </w:t>
      </w:r>
      <w:r>
        <w:rPr>
          <w:sz w:val="18"/>
          <w:szCs w:val="18"/>
        </w:rPr>
        <w:t xml:space="preserve">these </w:t>
      </w:r>
      <w:r w:rsidRPr="00875909">
        <w:rPr>
          <w:sz w:val="18"/>
          <w:szCs w:val="18"/>
        </w:rPr>
        <w:t>assumptions.</w:t>
      </w:r>
      <w:r>
        <w:rPr>
          <w:sz w:val="18"/>
          <w:szCs w:val="18"/>
        </w:rPr>
        <w:t xml:space="preserve"> </w:t>
      </w:r>
      <w:r w:rsidRPr="000D76C1">
        <w:rPr>
          <w:sz w:val="18"/>
          <w:szCs w:val="18"/>
        </w:rPr>
        <w:t xml:space="preserve">UN (2013) points out that the «long-term goal is to capitalize increasingly on microdata [to diminish the use of restrictions] to develop high-quality supply-use, </w:t>
      </w:r>
      <w:r>
        <w:rPr>
          <w:sz w:val="18"/>
          <w:szCs w:val="18"/>
        </w:rPr>
        <w:t>IO</w:t>
      </w:r>
      <w:r w:rsidRPr="000D76C1">
        <w:rPr>
          <w:sz w:val="18"/>
          <w:szCs w:val="18"/>
        </w:rPr>
        <w:t xml:space="preserve"> and bilateral trade statistics (services and goods) to improve the quality of estimates of the trade in value added».</w:t>
      </w:r>
    </w:p>
  </w:footnote>
  <w:footnote w:id="37">
    <w:p w:rsidR="0098614F" w:rsidRPr="00AE06D2" w:rsidRDefault="0098614F" w:rsidP="00AE06D2">
      <w:pPr>
        <w:pStyle w:val="Textodenotaderodap"/>
        <w:jc w:val="both"/>
        <w:rPr>
          <w:sz w:val="18"/>
          <w:szCs w:val="18"/>
        </w:rPr>
      </w:pPr>
      <w:r>
        <w:rPr>
          <w:rStyle w:val="Refdenotaderodap"/>
        </w:rPr>
        <w:footnoteRef/>
      </w:r>
      <w:r>
        <w:t xml:space="preserve"> </w:t>
      </w:r>
      <w:r w:rsidRPr="00AE06D2">
        <w:rPr>
          <w:sz w:val="18"/>
          <w:szCs w:val="18"/>
        </w:rPr>
        <w:t xml:space="preserve">Such as: </w:t>
      </w:r>
      <w:r w:rsidRPr="00AE06D2">
        <w:rPr>
          <w:sz w:val="18"/>
          <w:szCs w:val="18"/>
          <w:lang w:val="en-US"/>
        </w:rPr>
        <w:t>Campa &amp; Goldberg (1997); Feenstra &amp; Hanson (1996, 1999); Feenstra (1998); Egger et al (2001); Egger &amp; Egger (2003); Hijzen (2007); Feenstra (2007); Geishecker &amp; Görg (2008); and Amador &amp; Cabral (2008).</w:t>
      </w:r>
    </w:p>
  </w:footnote>
  <w:footnote w:id="38">
    <w:p w:rsidR="0098614F" w:rsidRPr="00AE06D2" w:rsidRDefault="0098614F" w:rsidP="00AE06D2">
      <w:pPr>
        <w:pStyle w:val="Textodenotaderodap"/>
        <w:jc w:val="both"/>
        <w:rPr>
          <w:sz w:val="18"/>
          <w:szCs w:val="18"/>
        </w:rPr>
      </w:pPr>
      <w:r>
        <w:rPr>
          <w:rStyle w:val="Refdenotaderodap"/>
        </w:rPr>
        <w:footnoteRef/>
      </w:r>
      <w:r>
        <w:t xml:space="preserve"> Such </w:t>
      </w:r>
      <w:r w:rsidRPr="00AE06D2">
        <w:rPr>
          <w:sz w:val="18"/>
          <w:szCs w:val="18"/>
        </w:rPr>
        <w:t xml:space="preserve">as: </w:t>
      </w:r>
      <w:r w:rsidRPr="00AE06D2">
        <w:rPr>
          <w:sz w:val="18"/>
          <w:szCs w:val="18"/>
          <w:lang w:val="en-US"/>
        </w:rPr>
        <w:t>Hummels et al (1998); Feenstra (1998); Hummels et al (2001); Minondo &amp; Rubert (2002); Chen &amp; Chang (2006); Zhang &amp; Sun (2007); Amador &amp; Cabral (2008, 2009); and Uchida &amp; Inomata (2009).</w:t>
      </w:r>
    </w:p>
  </w:footnote>
  <w:footnote w:id="39">
    <w:p w:rsidR="0098614F" w:rsidRPr="00AE06D2" w:rsidRDefault="0098614F" w:rsidP="00AE06D2">
      <w:pPr>
        <w:pStyle w:val="Textodenotaderodap"/>
        <w:jc w:val="both"/>
        <w:rPr>
          <w:sz w:val="18"/>
          <w:szCs w:val="18"/>
        </w:rPr>
      </w:pPr>
      <w:r>
        <w:rPr>
          <w:rStyle w:val="Refdenotaderodap"/>
        </w:rPr>
        <w:footnoteRef/>
      </w:r>
      <w:r>
        <w:t xml:space="preserve"> </w:t>
      </w:r>
      <w:r w:rsidRPr="00AE06D2">
        <w:rPr>
          <w:sz w:val="18"/>
          <w:szCs w:val="18"/>
          <w:lang w:val="en-US"/>
        </w:rPr>
        <w:t>Such as: Ping (2005); Chen et al (2005); Wixted et al (2006); De Backer &amp; Yamano (2007); Cadarso-Vecina et al (2007); Dean et al (2007); Koopman et al (2008); Dean et al (2008); Breda et al (2008); Yang et al (2009); Meng et al (2010, 2011); Daudin et al (20</w:t>
      </w:r>
      <w:r>
        <w:rPr>
          <w:sz w:val="18"/>
          <w:szCs w:val="18"/>
          <w:lang w:val="en-US"/>
        </w:rPr>
        <w:t>11</w:t>
      </w:r>
      <w:r w:rsidRPr="00AE06D2">
        <w:rPr>
          <w:sz w:val="18"/>
          <w:szCs w:val="18"/>
          <w:lang w:val="en-US"/>
        </w:rPr>
        <w:t>); Yamano et al (2011); Koopman et al (2011); and Johnson &amp; Noguera (2012).</w:t>
      </w:r>
    </w:p>
  </w:footnote>
  <w:footnote w:id="40">
    <w:p w:rsidR="0098614F" w:rsidRPr="00AE06D2" w:rsidRDefault="0098614F" w:rsidP="00AE06D2">
      <w:pPr>
        <w:pStyle w:val="Textodenotaderodap"/>
        <w:jc w:val="both"/>
        <w:rPr>
          <w:sz w:val="18"/>
          <w:szCs w:val="18"/>
        </w:rPr>
      </w:pPr>
      <w:r>
        <w:rPr>
          <w:rStyle w:val="Refdenotaderodap"/>
        </w:rPr>
        <w:footnoteRef/>
      </w:r>
      <w:r>
        <w:t xml:space="preserve"> </w:t>
      </w:r>
      <w:r w:rsidRPr="00AE06D2">
        <w:rPr>
          <w:sz w:val="18"/>
          <w:szCs w:val="18"/>
        </w:rPr>
        <w:t xml:space="preserve">Such as: </w:t>
      </w:r>
      <w:r w:rsidRPr="00AE06D2">
        <w:rPr>
          <w:sz w:val="18"/>
          <w:szCs w:val="18"/>
          <w:lang w:val="en-US"/>
        </w:rPr>
        <w:t>Foster &amp; Stehrer (2010); Temurshoev &amp; Timmer (2010); Temurshoev et al (2010); Dietzenbacher (2012); Foster et al (2012); Los et al (2012); Stehrer (2012); Streicher &amp; Stehrer (2012); Stehrer &amp; Stöllinger (2012); Stehrer et al (2012); De Backer &amp; Yamano (2012); Timmer et al (2012a); and Timmer et al (2012b).</w:t>
      </w:r>
    </w:p>
  </w:footnote>
  <w:footnote w:id="41">
    <w:p w:rsidR="0098614F" w:rsidRPr="00773DD1" w:rsidRDefault="0098614F" w:rsidP="001F5E34">
      <w:pPr>
        <w:pStyle w:val="Textodenotaderodap"/>
        <w:jc w:val="both"/>
        <w:rPr>
          <w:sz w:val="18"/>
          <w:szCs w:val="18"/>
          <w:lang w:val="en-US" w:eastAsia="en-US"/>
        </w:rPr>
      </w:pPr>
      <w:r>
        <w:rPr>
          <w:rStyle w:val="Refdenotaderodap"/>
        </w:rPr>
        <w:footnoteRef/>
      </w:r>
      <w:r>
        <w:t xml:space="preserve"> </w:t>
      </w:r>
      <w:r>
        <w:rPr>
          <w:sz w:val="18"/>
          <w:szCs w:val="18"/>
        </w:rPr>
        <w:t>UNCTAD (2013c</w:t>
      </w:r>
      <w:r w:rsidRPr="00773DD1">
        <w:rPr>
          <w:sz w:val="18"/>
          <w:szCs w:val="18"/>
        </w:rPr>
        <w:t>, p. 126</w:t>
      </w:r>
      <w:r>
        <w:rPr>
          <w:sz w:val="18"/>
          <w:szCs w:val="18"/>
        </w:rPr>
        <w:t>)</w:t>
      </w:r>
      <w:r w:rsidRPr="00773DD1">
        <w:rPr>
          <w:sz w:val="18"/>
          <w:szCs w:val="18"/>
        </w:rPr>
        <w:t xml:space="preserve"> clearly summarize</w:t>
      </w:r>
      <w:r>
        <w:rPr>
          <w:sz w:val="18"/>
          <w:szCs w:val="18"/>
        </w:rPr>
        <w:t>d</w:t>
      </w:r>
      <w:r w:rsidRPr="00773DD1">
        <w:rPr>
          <w:sz w:val="18"/>
          <w:szCs w:val="18"/>
        </w:rPr>
        <w:t xml:space="preserve"> the rationale for this concept as </w:t>
      </w:r>
      <w:r>
        <w:rPr>
          <w:sz w:val="18"/>
          <w:szCs w:val="18"/>
        </w:rPr>
        <w:t>«</w:t>
      </w:r>
      <w:r w:rsidRPr="00860308">
        <w:rPr>
          <w:sz w:val="18"/>
          <w:szCs w:val="18"/>
          <w:lang w:val="en-US" w:eastAsia="en-US"/>
        </w:rPr>
        <w:t xml:space="preserve">indicating the share of a country’s exports that is part of a multi-stage trade process, by adding to the foreign value added </w:t>
      </w:r>
      <w:r w:rsidRPr="00860308">
        <w:rPr>
          <w:iCs/>
          <w:sz w:val="18"/>
          <w:szCs w:val="18"/>
          <w:lang w:val="en-US" w:eastAsia="en-US"/>
        </w:rPr>
        <w:t xml:space="preserve">used </w:t>
      </w:r>
      <w:r w:rsidRPr="00860308">
        <w:rPr>
          <w:sz w:val="18"/>
          <w:szCs w:val="18"/>
          <w:lang w:val="en-US" w:eastAsia="en-US"/>
        </w:rPr>
        <w:t xml:space="preserve">in a country’s own exports also the value added </w:t>
      </w:r>
      <w:r w:rsidRPr="00860308">
        <w:rPr>
          <w:iCs/>
          <w:sz w:val="18"/>
          <w:szCs w:val="18"/>
          <w:lang w:val="en-US" w:eastAsia="en-US"/>
        </w:rPr>
        <w:t xml:space="preserve">supplied </w:t>
      </w:r>
      <w:r w:rsidRPr="00860308">
        <w:rPr>
          <w:sz w:val="18"/>
          <w:szCs w:val="18"/>
          <w:lang w:val="en-US" w:eastAsia="en-US"/>
        </w:rPr>
        <w:t>to other countries’ exports</w:t>
      </w:r>
      <w:r>
        <w:rPr>
          <w:sz w:val="18"/>
          <w:szCs w:val="18"/>
        </w:rPr>
        <w:t>»</w:t>
      </w:r>
      <w:r w:rsidRPr="00773DD1">
        <w:rPr>
          <w:sz w:val="18"/>
          <w:szCs w:val="18"/>
        </w:rPr>
        <w:t>. Firstly introduced by K</w:t>
      </w:r>
      <w:r>
        <w:rPr>
          <w:sz w:val="18"/>
          <w:szCs w:val="18"/>
        </w:rPr>
        <w:t>oopman</w:t>
      </w:r>
      <w:r w:rsidRPr="00773DD1">
        <w:rPr>
          <w:sz w:val="18"/>
          <w:szCs w:val="18"/>
        </w:rPr>
        <w:t xml:space="preserve"> et al (2011), </w:t>
      </w:r>
      <w:r w:rsidRPr="00773DD1">
        <w:rPr>
          <w:sz w:val="18"/>
          <w:szCs w:val="18"/>
          <w:lang w:val="en-US" w:eastAsia="en-US"/>
        </w:rPr>
        <w:t>the GVC</w:t>
      </w:r>
      <w:r>
        <w:rPr>
          <w:sz w:val="18"/>
          <w:szCs w:val="18"/>
          <w:lang w:val="en-US" w:eastAsia="en-US"/>
        </w:rPr>
        <w:t>-</w:t>
      </w:r>
      <w:r w:rsidRPr="00773DD1">
        <w:rPr>
          <w:sz w:val="18"/>
          <w:szCs w:val="18"/>
          <w:lang w:val="en-US" w:eastAsia="en-US"/>
        </w:rPr>
        <w:t xml:space="preserve">participation rate corrects the limitation of the foreign and domestic value added indicators in which countries at the beginning of the value chain (e.g. exporters of raw materials) have a low foreign value added content of exports by definition. It gives a more complete picture of the involvement of countries in GVCs, both upstream and downstream. </w:t>
      </w:r>
      <w:r>
        <w:rPr>
          <w:sz w:val="18"/>
          <w:szCs w:val="18"/>
          <w:lang w:val="en-US" w:eastAsia="en-US"/>
        </w:rPr>
        <w:t>We will pay particular attention to this approach in the following chapters of this thesis.</w:t>
      </w:r>
    </w:p>
  </w:footnote>
  <w:footnote w:id="42">
    <w:p w:rsidR="0098614F" w:rsidRPr="004B42A7" w:rsidRDefault="0098614F" w:rsidP="001F5E34">
      <w:pPr>
        <w:pStyle w:val="Textodenotaderodap"/>
        <w:jc w:val="both"/>
        <w:rPr>
          <w:sz w:val="18"/>
          <w:szCs w:val="18"/>
        </w:rPr>
      </w:pPr>
      <w:r w:rsidRPr="004B42A7">
        <w:rPr>
          <w:rStyle w:val="Refdenotaderodap"/>
          <w:sz w:val="18"/>
          <w:szCs w:val="18"/>
        </w:rPr>
        <w:footnoteRef/>
      </w:r>
      <w:r w:rsidRPr="004B42A7">
        <w:rPr>
          <w:sz w:val="18"/>
          <w:szCs w:val="18"/>
        </w:rPr>
        <w:t xml:space="preserve"> See </w:t>
      </w:r>
      <w:r>
        <w:rPr>
          <w:sz w:val="18"/>
          <w:szCs w:val="18"/>
        </w:rPr>
        <w:t xml:space="preserve">Lee </w:t>
      </w:r>
      <w:r w:rsidRPr="00AD6F5B">
        <w:rPr>
          <w:sz w:val="18"/>
          <w:szCs w:val="18"/>
        </w:rPr>
        <w:t>et al</w:t>
      </w:r>
      <w:r>
        <w:rPr>
          <w:sz w:val="18"/>
          <w:szCs w:val="18"/>
        </w:rPr>
        <w:t xml:space="preserve"> (1997) as the pioneer work, where </w:t>
      </w:r>
      <w:r w:rsidRPr="004B42A7">
        <w:rPr>
          <w:sz w:val="18"/>
          <w:szCs w:val="18"/>
        </w:rPr>
        <w:t>the authors explain four major causes of the bullwhip effect, as well as ways to counteract it.</w:t>
      </w:r>
      <w:r>
        <w:rPr>
          <w:sz w:val="18"/>
          <w:szCs w:val="18"/>
        </w:rPr>
        <w:t xml:space="preserve"> See Escaith </w:t>
      </w:r>
      <w:r w:rsidRPr="00AD6F5B">
        <w:rPr>
          <w:sz w:val="18"/>
          <w:szCs w:val="18"/>
        </w:rPr>
        <w:t>et al</w:t>
      </w:r>
      <w:r>
        <w:rPr>
          <w:sz w:val="18"/>
          <w:szCs w:val="18"/>
        </w:rPr>
        <w:t xml:space="preserve"> (2010) for a more recent approach to the phenomenon. </w:t>
      </w:r>
      <w:r w:rsidRPr="00A62034">
        <w:rPr>
          <w:sz w:val="18"/>
          <w:szCs w:val="18"/>
        </w:rPr>
        <w:t xml:space="preserve">See </w:t>
      </w:r>
      <w:r>
        <w:rPr>
          <w:sz w:val="18"/>
          <w:szCs w:val="18"/>
        </w:rPr>
        <w:t xml:space="preserve">also </w:t>
      </w:r>
      <w:r w:rsidRPr="00A62034">
        <w:rPr>
          <w:sz w:val="18"/>
          <w:szCs w:val="18"/>
        </w:rPr>
        <w:t>E</w:t>
      </w:r>
      <w:r>
        <w:rPr>
          <w:sz w:val="18"/>
          <w:szCs w:val="18"/>
        </w:rPr>
        <w:t>scaith</w:t>
      </w:r>
      <w:r w:rsidRPr="00A62034">
        <w:rPr>
          <w:sz w:val="18"/>
          <w:szCs w:val="18"/>
        </w:rPr>
        <w:t xml:space="preserve"> </w:t>
      </w:r>
      <w:r w:rsidRPr="00AD6F5B">
        <w:rPr>
          <w:sz w:val="18"/>
          <w:szCs w:val="18"/>
        </w:rPr>
        <w:t>et al</w:t>
      </w:r>
      <w:r w:rsidRPr="00A62034">
        <w:rPr>
          <w:sz w:val="18"/>
          <w:szCs w:val="18"/>
        </w:rPr>
        <w:t xml:space="preserve"> (2011) for the only empirical application of </w:t>
      </w:r>
      <w:r>
        <w:rPr>
          <w:sz w:val="18"/>
          <w:szCs w:val="18"/>
        </w:rPr>
        <w:t xml:space="preserve">IO </w:t>
      </w:r>
      <w:r w:rsidRPr="00A62034">
        <w:rPr>
          <w:sz w:val="18"/>
          <w:szCs w:val="18"/>
        </w:rPr>
        <w:t>matrices to analyse the bullwhip effect of a supply shock.</w:t>
      </w:r>
    </w:p>
  </w:footnote>
  <w:footnote w:id="43">
    <w:p w:rsidR="0098614F" w:rsidRPr="00391D54" w:rsidRDefault="0098614F" w:rsidP="001F5E34">
      <w:pPr>
        <w:pStyle w:val="Textodenotaderodap"/>
        <w:rPr>
          <w:sz w:val="18"/>
          <w:szCs w:val="18"/>
        </w:rPr>
      </w:pPr>
      <w:r w:rsidRPr="00391D54">
        <w:rPr>
          <w:rStyle w:val="Refdenotaderodap"/>
          <w:sz w:val="18"/>
          <w:szCs w:val="18"/>
        </w:rPr>
        <w:footnoteRef/>
      </w:r>
      <w:r>
        <w:rPr>
          <w:sz w:val="18"/>
          <w:szCs w:val="18"/>
        </w:rPr>
        <w:t xml:space="preserve"> Almost 60%, according to De </w:t>
      </w:r>
      <w:r w:rsidRPr="00391D54">
        <w:rPr>
          <w:sz w:val="18"/>
          <w:szCs w:val="18"/>
        </w:rPr>
        <w:t>G</w:t>
      </w:r>
      <w:r>
        <w:rPr>
          <w:sz w:val="18"/>
          <w:szCs w:val="18"/>
        </w:rPr>
        <w:t>ucht</w:t>
      </w:r>
      <w:r w:rsidRPr="00391D54">
        <w:rPr>
          <w:sz w:val="18"/>
          <w:szCs w:val="18"/>
        </w:rPr>
        <w:t xml:space="preserve"> (2012).</w:t>
      </w:r>
    </w:p>
  </w:footnote>
  <w:footnote w:id="44">
    <w:p w:rsidR="0098614F" w:rsidRPr="002E7A9F" w:rsidRDefault="0098614F" w:rsidP="00471477">
      <w:pPr>
        <w:pStyle w:val="Textodenotaderodap"/>
        <w:jc w:val="both"/>
        <w:rPr>
          <w:sz w:val="18"/>
          <w:szCs w:val="18"/>
        </w:rPr>
      </w:pPr>
      <w:r>
        <w:rPr>
          <w:rStyle w:val="Refdenotaderodap"/>
        </w:rPr>
        <w:footnoteRef/>
      </w:r>
      <w:r>
        <w:t xml:space="preserve"> </w:t>
      </w:r>
      <w:r w:rsidRPr="00A344AD">
        <w:rPr>
          <w:sz w:val="18"/>
          <w:szCs w:val="18"/>
          <w:lang w:val="en-US"/>
        </w:rPr>
        <w:t xml:space="preserve">See </w:t>
      </w:r>
      <w:hyperlink r:id="rId7" w:history="1">
        <w:r w:rsidRPr="00A344AD">
          <w:rPr>
            <w:rStyle w:val="Hiperligao"/>
            <w:i/>
            <w:sz w:val="18"/>
            <w:szCs w:val="18"/>
          </w:rPr>
          <w:t>www.oecd.org/industry/ind/measuringtradeinvalue-addedanoecd-wtojointinitiative.htm</w:t>
        </w:r>
      </w:hyperlink>
      <w:r w:rsidRPr="00A344AD">
        <w:rPr>
          <w:sz w:val="18"/>
          <w:szCs w:val="18"/>
          <w:lang w:val="en-US"/>
        </w:rPr>
        <w:t>.</w:t>
      </w:r>
      <w:r>
        <w:rPr>
          <w:sz w:val="18"/>
          <w:szCs w:val="18"/>
          <w:lang w:val="en-US"/>
        </w:rPr>
        <w:t xml:space="preserve"> </w:t>
      </w:r>
      <w:r w:rsidRPr="002E7A9F">
        <w:rPr>
          <w:sz w:val="18"/>
          <w:szCs w:val="18"/>
        </w:rPr>
        <w:t xml:space="preserve">Other country-specific indicators published included, among others: (a) gross exports disaggregated according to their domestic and foreign contents, by industry; (b) service content in gross exports, by exporting industry, also disaggregated according to their domestic and foreign origin; </w:t>
      </w:r>
      <w:r>
        <w:rPr>
          <w:sz w:val="18"/>
          <w:szCs w:val="18"/>
        </w:rPr>
        <w:t>and (</w:t>
      </w:r>
      <w:r w:rsidRPr="002E7A9F">
        <w:rPr>
          <w:sz w:val="18"/>
          <w:szCs w:val="18"/>
        </w:rPr>
        <w:t>c) intermediate imports embedded in exports.</w:t>
      </w:r>
    </w:p>
  </w:footnote>
  <w:footnote w:id="45">
    <w:p w:rsidR="0098614F" w:rsidRPr="00082DAD" w:rsidRDefault="0098614F" w:rsidP="00471477">
      <w:pPr>
        <w:pStyle w:val="Textodenotaderodap"/>
        <w:jc w:val="both"/>
        <w:rPr>
          <w:color w:val="000000"/>
          <w:sz w:val="18"/>
          <w:szCs w:val="18"/>
          <w:lang w:val="en-US"/>
        </w:rPr>
      </w:pPr>
      <w:r>
        <w:rPr>
          <w:rStyle w:val="Refdenotaderodap"/>
        </w:rPr>
        <w:footnoteRef/>
      </w:r>
      <w:r>
        <w:t xml:space="preserve"> </w:t>
      </w:r>
      <w:r w:rsidRPr="00082DAD">
        <w:rPr>
          <w:color w:val="000000"/>
          <w:sz w:val="18"/>
          <w:szCs w:val="18"/>
          <w:lang w:val="en-US"/>
        </w:rPr>
        <w:t>This figure was lately revised</w:t>
      </w:r>
      <w:r>
        <w:rPr>
          <w:color w:val="000000"/>
          <w:sz w:val="18"/>
          <w:szCs w:val="18"/>
          <w:lang w:val="en-US"/>
        </w:rPr>
        <w:t xml:space="preserve"> to 33%</w:t>
      </w:r>
      <w:r w:rsidRPr="00082DAD">
        <w:rPr>
          <w:color w:val="000000"/>
          <w:sz w:val="18"/>
          <w:szCs w:val="18"/>
          <w:lang w:val="en-US"/>
        </w:rPr>
        <w:t>, in May 2013, after having gathered more detailed information about services provided by US firms to PRC manufacturers, as well as the role of Hong Kong and other locations in re-exporting goods.</w:t>
      </w:r>
    </w:p>
  </w:footnote>
  <w:footnote w:id="46">
    <w:p w:rsidR="0098614F" w:rsidRPr="003A3B50" w:rsidRDefault="0098614F" w:rsidP="00471477">
      <w:pPr>
        <w:pStyle w:val="Default"/>
        <w:jc w:val="both"/>
        <w:rPr>
          <w:rFonts w:ascii="Times New Roman" w:hAnsi="Times New Roman" w:cs="Times New Roman"/>
          <w:sz w:val="18"/>
          <w:szCs w:val="18"/>
          <w:lang w:val="en-US" w:eastAsia="en-US"/>
        </w:rPr>
      </w:pPr>
      <w:r w:rsidRPr="003A3B50">
        <w:rPr>
          <w:rStyle w:val="Refdenotaderodap"/>
          <w:rFonts w:ascii="Times New Roman" w:hAnsi="Times New Roman" w:cs="Times New Roman"/>
          <w:sz w:val="18"/>
          <w:szCs w:val="18"/>
        </w:rPr>
        <w:footnoteRef/>
      </w:r>
      <w:r w:rsidRPr="003A3B50">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Previously, </w:t>
      </w:r>
      <w:r w:rsidRPr="003A3B50">
        <w:rPr>
          <w:rFonts w:ascii="Times New Roman" w:hAnsi="Times New Roman" w:cs="Times New Roman"/>
          <w:sz w:val="18"/>
          <w:szCs w:val="18"/>
          <w:lang w:val="en-US"/>
        </w:rPr>
        <w:t>K</w:t>
      </w:r>
      <w:r>
        <w:rPr>
          <w:rFonts w:ascii="Times New Roman" w:hAnsi="Times New Roman" w:cs="Times New Roman"/>
          <w:sz w:val="18"/>
          <w:szCs w:val="18"/>
          <w:lang w:val="en-US"/>
        </w:rPr>
        <w:t xml:space="preserve">oopman </w:t>
      </w:r>
      <w:r w:rsidRPr="00F34675">
        <w:rPr>
          <w:rFonts w:ascii="Times New Roman" w:hAnsi="Times New Roman" w:cs="Times New Roman"/>
          <w:sz w:val="18"/>
          <w:szCs w:val="18"/>
          <w:lang w:val="en-US"/>
        </w:rPr>
        <w:t>et al</w:t>
      </w:r>
      <w:r w:rsidRPr="003A3B50">
        <w:rPr>
          <w:rFonts w:ascii="Times New Roman" w:hAnsi="Times New Roman" w:cs="Times New Roman"/>
          <w:sz w:val="18"/>
          <w:szCs w:val="18"/>
          <w:lang w:val="en-US"/>
        </w:rPr>
        <w:t xml:space="preserve"> (2011) show</w:t>
      </w:r>
      <w:r>
        <w:rPr>
          <w:rFonts w:ascii="Times New Roman" w:hAnsi="Times New Roman" w:cs="Times New Roman"/>
          <w:sz w:val="18"/>
          <w:szCs w:val="18"/>
          <w:lang w:val="en-US"/>
        </w:rPr>
        <w:t>ed</w:t>
      </w:r>
      <w:r w:rsidRPr="003A3B50">
        <w:rPr>
          <w:rFonts w:ascii="Times New Roman" w:hAnsi="Times New Roman" w:cs="Times New Roman"/>
          <w:sz w:val="18"/>
          <w:szCs w:val="18"/>
          <w:lang w:val="en-US"/>
        </w:rPr>
        <w:t xml:space="preserve"> for the EU</w:t>
      </w:r>
      <w:r>
        <w:rPr>
          <w:rFonts w:ascii="Times New Roman" w:hAnsi="Times New Roman" w:cs="Times New Roman"/>
          <w:sz w:val="18"/>
          <w:szCs w:val="18"/>
          <w:lang w:val="en-US"/>
        </w:rPr>
        <w:t>-</w:t>
      </w:r>
      <w:r w:rsidRPr="003A3B50">
        <w:rPr>
          <w:rFonts w:ascii="Times New Roman" w:hAnsi="Times New Roman" w:cs="Times New Roman"/>
          <w:sz w:val="18"/>
          <w:szCs w:val="18"/>
          <w:lang w:val="en-US"/>
        </w:rPr>
        <w:t xml:space="preserve">15 </w:t>
      </w:r>
      <w:r w:rsidRPr="003A3B50">
        <w:rPr>
          <w:rFonts w:ascii="Times New Roman" w:hAnsi="Times New Roman" w:cs="Times New Roman"/>
          <w:sz w:val="18"/>
          <w:szCs w:val="18"/>
          <w:lang w:val="en-US" w:eastAsia="en-US"/>
        </w:rPr>
        <w:t>a 50</w:t>
      </w:r>
      <w:r>
        <w:rPr>
          <w:rFonts w:ascii="Times New Roman" w:hAnsi="Times New Roman" w:cs="Times New Roman"/>
          <w:sz w:val="18"/>
          <w:szCs w:val="18"/>
          <w:lang w:val="en-US" w:eastAsia="en-US"/>
        </w:rPr>
        <w:t>%</w:t>
      </w:r>
      <w:r w:rsidRPr="003A3B50">
        <w:rPr>
          <w:rFonts w:ascii="Times New Roman" w:hAnsi="Times New Roman" w:cs="Times New Roman"/>
          <w:sz w:val="18"/>
          <w:szCs w:val="18"/>
          <w:lang w:val="en-US" w:eastAsia="en-US"/>
        </w:rPr>
        <w:t xml:space="preserve"> reduction in its trade deficit with </w:t>
      </w:r>
      <w:r>
        <w:rPr>
          <w:rFonts w:ascii="Times New Roman" w:hAnsi="Times New Roman" w:cs="Times New Roman"/>
          <w:sz w:val="18"/>
          <w:szCs w:val="18"/>
          <w:lang w:val="en-US" w:eastAsia="en-US"/>
        </w:rPr>
        <w:t>the PRC</w:t>
      </w:r>
      <w:r w:rsidRPr="003A3B50">
        <w:rPr>
          <w:rFonts w:ascii="Times New Roman" w:hAnsi="Times New Roman" w:cs="Times New Roman"/>
          <w:sz w:val="18"/>
          <w:szCs w:val="18"/>
          <w:lang w:val="en-US" w:eastAsia="en-US"/>
        </w:rPr>
        <w:t xml:space="preserve"> and a surplus turning </w:t>
      </w:r>
      <w:r>
        <w:rPr>
          <w:rFonts w:ascii="Times New Roman" w:hAnsi="Times New Roman" w:cs="Times New Roman"/>
          <w:sz w:val="18"/>
          <w:szCs w:val="18"/>
          <w:lang w:val="en-US" w:eastAsia="en-US"/>
        </w:rPr>
        <w:t>in</w:t>
      </w:r>
      <w:r w:rsidRPr="003A3B50">
        <w:rPr>
          <w:rFonts w:ascii="Times New Roman" w:hAnsi="Times New Roman" w:cs="Times New Roman"/>
          <w:sz w:val="18"/>
          <w:szCs w:val="18"/>
          <w:lang w:val="en-US" w:eastAsia="en-US"/>
        </w:rPr>
        <w:t xml:space="preserve">to </w:t>
      </w:r>
      <w:r>
        <w:rPr>
          <w:rFonts w:ascii="Times New Roman" w:hAnsi="Times New Roman" w:cs="Times New Roman"/>
          <w:sz w:val="18"/>
          <w:szCs w:val="18"/>
          <w:lang w:val="en-US" w:eastAsia="en-US"/>
        </w:rPr>
        <w:t xml:space="preserve">a </w:t>
      </w:r>
      <w:r w:rsidRPr="003A3B50">
        <w:rPr>
          <w:rFonts w:ascii="Times New Roman" w:hAnsi="Times New Roman" w:cs="Times New Roman"/>
          <w:sz w:val="18"/>
          <w:szCs w:val="18"/>
          <w:lang w:val="en-US" w:eastAsia="en-US"/>
        </w:rPr>
        <w:t xml:space="preserve">deficit with Japan when </w:t>
      </w:r>
      <w:r>
        <w:rPr>
          <w:rFonts w:ascii="Times New Roman" w:hAnsi="Times New Roman" w:cs="Times New Roman"/>
          <w:sz w:val="18"/>
          <w:szCs w:val="18"/>
          <w:lang w:val="en-US" w:eastAsia="en-US"/>
        </w:rPr>
        <w:t xml:space="preserve">moving from </w:t>
      </w:r>
      <w:r w:rsidRPr="003A3B50">
        <w:rPr>
          <w:rFonts w:ascii="Times New Roman" w:hAnsi="Times New Roman" w:cs="Times New Roman"/>
          <w:sz w:val="18"/>
          <w:szCs w:val="18"/>
          <w:lang w:val="en-US" w:eastAsia="en-US"/>
        </w:rPr>
        <w:t xml:space="preserve">gross to </w:t>
      </w:r>
      <w:r>
        <w:rPr>
          <w:rFonts w:ascii="Times New Roman" w:hAnsi="Times New Roman" w:cs="Times New Roman"/>
          <w:sz w:val="18"/>
          <w:szCs w:val="18"/>
          <w:lang w:val="en-US" w:eastAsia="en-US"/>
        </w:rPr>
        <w:t xml:space="preserve">TiVA </w:t>
      </w:r>
      <w:r w:rsidRPr="003A3B50">
        <w:rPr>
          <w:rFonts w:ascii="Times New Roman" w:hAnsi="Times New Roman" w:cs="Times New Roman"/>
          <w:sz w:val="18"/>
          <w:szCs w:val="18"/>
          <w:lang w:val="en-US" w:eastAsia="en-US"/>
        </w:rPr>
        <w:t>terms.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569" w:rsidRDefault="004D056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569" w:rsidRDefault="004D056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569" w:rsidRPr="00D13B3A" w:rsidRDefault="004D0569" w:rsidP="004D0569">
    <w:pPr>
      <w:jc w:val="center"/>
      <w:rPr>
        <w:b/>
        <w:sz w:val="44"/>
        <w:szCs w:val="44"/>
        <w:lang w:val="en-US"/>
      </w:rPr>
    </w:pPr>
    <w:r w:rsidRPr="00D13B3A">
      <w:rPr>
        <w:b/>
        <w:sz w:val="44"/>
        <w:szCs w:val="44"/>
        <w:lang w:val="en-US"/>
      </w:rPr>
      <w:t>UNIVERSIDADE DE LISBOA</w:t>
    </w:r>
  </w:p>
  <w:p w:rsidR="004D0569" w:rsidRPr="00D13B3A" w:rsidRDefault="004D0569" w:rsidP="004D0569">
    <w:pPr>
      <w:tabs>
        <w:tab w:val="left" w:pos="0"/>
      </w:tabs>
      <w:jc w:val="center"/>
      <w:rPr>
        <w:b/>
        <w:sz w:val="30"/>
        <w:szCs w:val="30"/>
        <w:lang w:val="en-US"/>
      </w:rPr>
    </w:pPr>
    <w:r w:rsidRPr="00D13B3A">
      <w:rPr>
        <w:b/>
        <w:sz w:val="30"/>
        <w:szCs w:val="30"/>
        <w:lang w:val="en-US"/>
      </w:rPr>
      <w:t>ISEG – LISBON SCHOOL OF ECONOMICS AND MANAGEMENT</w:t>
    </w:r>
  </w:p>
  <w:p w:rsidR="004D0569" w:rsidRPr="00D13B3A" w:rsidRDefault="004D0569" w:rsidP="004D0569">
    <w:pPr>
      <w:tabs>
        <w:tab w:val="left" w:pos="0"/>
      </w:tabs>
      <w:jc w:val="center"/>
      <w:rPr>
        <w:b/>
        <w:sz w:val="30"/>
        <w:szCs w:val="30"/>
        <w:lang w:val="en-US"/>
      </w:rPr>
    </w:pPr>
  </w:p>
  <w:p w:rsidR="004D0569" w:rsidRPr="00D13B3A" w:rsidRDefault="004D0569" w:rsidP="004D0569">
    <w:pPr>
      <w:tabs>
        <w:tab w:val="left" w:pos="0"/>
      </w:tabs>
      <w:jc w:val="center"/>
      <w:rPr>
        <w:b/>
        <w:sz w:val="30"/>
        <w:szCs w:val="30"/>
        <w:lang w:val="en-US"/>
      </w:rPr>
    </w:pPr>
    <w:r w:rsidRPr="00D13B3A">
      <w:rPr>
        <w:noProof/>
        <w:lang w:val="pt-PT"/>
      </w:rPr>
      <w:drawing>
        <wp:inline distT="0" distB="0" distL="0" distR="0" wp14:anchorId="312FC832" wp14:editId="1120052D">
          <wp:extent cx="2091069" cy="930252"/>
          <wp:effectExtent l="0" t="0" r="0" b="0"/>
          <wp:docPr id="10" name="Imagem 10" descr="https://www.iseg.ulisboa.pt/aquila/getFile.do?method=getFile&amp;fileId=555683&amp;_request_checksum_=0c71e3ca3ad61a54c8bde2a3d92eda31df5c2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seg.ulisboa.pt/aquila/getFile.do?method=getFile&amp;fileId=555683&amp;_request_checksum_=0c71e3ca3ad61a54c8bde2a3d92eda31df5c2f5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0566" cy="930028"/>
                  </a:xfrm>
                  <a:prstGeom prst="rect">
                    <a:avLst/>
                  </a:prstGeom>
                  <a:noFill/>
                  <a:ln>
                    <a:noFill/>
                  </a:ln>
                </pic:spPr>
              </pic:pic>
            </a:graphicData>
          </a:graphic>
        </wp:inline>
      </w:drawing>
    </w:r>
  </w:p>
  <w:p w:rsidR="004D0569" w:rsidRPr="00D13B3A" w:rsidRDefault="004D0569" w:rsidP="004D0569">
    <w:pPr>
      <w:tabs>
        <w:tab w:val="left" w:pos="0"/>
      </w:tabs>
      <w:jc w:val="center"/>
      <w:rPr>
        <w:b/>
        <w:sz w:val="30"/>
        <w:szCs w:val="30"/>
        <w:lang w:val="en-US"/>
      </w:rPr>
    </w:pPr>
  </w:p>
  <w:p w:rsidR="004D0569" w:rsidRPr="00D13B3A" w:rsidRDefault="004D0569" w:rsidP="004D0569">
    <w:pPr>
      <w:pStyle w:val="Ttulo"/>
      <w:spacing w:before="120" w:after="120" w:line="360" w:lineRule="auto"/>
      <w:ind w:left="708"/>
      <w:rPr>
        <w:b/>
        <w:smallCaps/>
        <w:sz w:val="36"/>
        <w:szCs w:val="36"/>
        <w:lang w:val="en-US"/>
      </w:rPr>
    </w:pPr>
    <w:r w:rsidRPr="00D13B3A">
      <w:rPr>
        <w:b/>
        <w:smallCaps/>
        <w:sz w:val="36"/>
        <w:szCs w:val="36"/>
        <w:lang w:val="en-US"/>
      </w:rPr>
      <w:t xml:space="preserve">A Contribution to Evaluate </w:t>
    </w:r>
    <w:r w:rsidRPr="00D13B3A">
      <w:rPr>
        <w:b/>
        <w:smallCaps/>
        <w:sz w:val="36"/>
        <w:szCs w:val="36"/>
        <w:lang w:val="en-US"/>
      </w:rPr>
      <w:br/>
      <w:t>the Impact of Global Value Chains</w:t>
    </w:r>
  </w:p>
  <w:p w:rsidR="004D0569" w:rsidRPr="00D13B3A" w:rsidRDefault="004D0569" w:rsidP="004D0569">
    <w:pPr>
      <w:jc w:val="center"/>
      <w:rPr>
        <w:lang w:val="en-US"/>
      </w:rPr>
    </w:pPr>
  </w:p>
  <w:p w:rsidR="004D0569" w:rsidRPr="00D13B3A" w:rsidRDefault="004D0569" w:rsidP="004D0569">
    <w:pPr>
      <w:jc w:val="center"/>
      <w:rPr>
        <w:sz w:val="28"/>
        <w:szCs w:val="28"/>
        <w:lang w:val="en-US"/>
      </w:rPr>
    </w:pPr>
    <w:r w:rsidRPr="00D13B3A">
      <w:rPr>
        <w:sz w:val="28"/>
        <w:szCs w:val="28"/>
        <w:lang w:val="en-US"/>
      </w:rPr>
      <w:t>ENRIQUE MARTÍNEZ GALÁN</w:t>
    </w:r>
  </w:p>
  <w:p w:rsidR="004D0569" w:rsidRPr="00D13B3A" w:rsidRDefault="004D0569" w:rsidP="004D0569">
    <w:pPr>
      <w:jc w:val="center"/>
      <w:rPr>
        <w:sz w:val="28"/>
        <w:szCs w:val="28"/>
        <w:lang w:val="en-US"/>
      </w:rPr>
    </w:pPr>
  </w:p>
  <w:p w:rsidR="004D0569" w:rsidRPr="00D13B3A" w:rsidRDefault="004D0569" w:rsidP="004D0569">
    <w:pPr>
      <w:jc w:val="center"/>
      <w:rPr>
        <w:sz w:val="28"/>
        <w:szCs w:val="28"/>
        <w:lang w:val="en-US"/>
      </w:rPr>
    </w:pPr>
  </w:p>
  <w:p w:rsidR="004D0569" w:rsidRPr="00D13B3A" w:rsidRDefault="004D0569" w:rsidP="004D0569">
    <w:pPr>
      <w:tabs>
        <w:tab w:val="left" w:pos="0"/>
      </w:tabs>
      <w:rPr>
        <w:bCs/>
        <w:sz w:val="26"/>
        <w:szCs w:val="26"/>
        <w:lang w:val="en-US"/>
      </w:rPr>
    </w:pPr>
    <w:proofErr w:type="spellStart"/>
    <w:r w:rsidRPr="00D13B3A">
      <w:rPr>
        <w:b/>
        <w:sz w:val="26"/>
        <w:szCs w:val="26"/>
        <w:u w:val="single"/>
        <w:lang w:val="en-US"/>
      </w:rPr>
      <w:t>Orientadora</w:t>
    </w:r>
    <w:proofErr w:type="spellEnd"/>
    <w:r w:rsidRPr="00D13B3A">
      <w:rPr>
        <w:b/>
        <w:sz w:val="26"/>
        <w:szCs w:val="26"/>
        <w:u w:val="single"/>
        <w:lang w:val="en-US"/>
      </w:rPr>
      <w:t>:</w:t>
    </w:r>
    <w:r w:rsidRPr="00D13B3A">
      <w:rPr>
        <w:bCs/>
        <w:sz w:val="26"/>
        <w:szCs w:val="26"/>
        <w:lang w:val="en-US"/>
      </w:rPr>
      <w:t xml:space="preserve"> </w:t>
    </w:r>
    <w:r w:rsidRPr="00D13B3A">
      <w:rPr>
        <w:bCs/>
        <w:sz w:val="26"/>
        <w:szCs w:val="26"/>
        <w:lang w:val="en-US"/>
      </w:rPr>
      <w:tab/>
    </w:r>
    <w:proofErr w:type="spellStart"/>
    <w:r w:rsidRPr="00D13B3A">
      <w:rPr>
        <w:bCs/>
        <w:sz w:val="26"/>
        <w:szCs w:val="26"/>
        <w:lang w:val="en-US"/>
      </w:rPr>
      <w:t>Professora</w:t>
    </w:r>
    <w:proofErr w:type="spellEnd"/>
    <w:r w:rsidRPr="00D13B3A">
      <w:rPr>
        <w:bCs/>
        <w:sz w:val="26"/>
        <w:szCs w:val="26"/>
        <w:lang w:val="en-US"/>
      </w:rPr>
      <w:t xml:space="preserve"> </w:t>
    </w:r>
    <w:proofErr w:type="spellStart"/>
    <w:r w:rsidRPr="00D13B3A">
      <w:rPr>
        <w:bCs/>
        <w:sz w:val="26"/>
        <w:szCs w:val="26"/>
        <w:lang w:val="en-US"/>
      </w:rPr>
      <w:t>Doutora</w:t>
    </w:r>
    <w:proofErr w:type="spellEnd"/>
    <w:r w:rsidRPr="00D13B3A">
      <w:rPr>
        <w:bCs/>
        <w:sz w:val="26"/>
        <w:szCs w:val="26"/>
        <w:lang w:val="en-US"/>
      </w:rPr>
      <w:t xml:space="preserve"> Maria Paula Fontoura </w:t>
    </w:r>
    <w:proofErr w:type="spellStart"/>
    <w:r w:rsidRPr="00D13B3A">
      <w:rPr>
        <w:bCs/>
        <w:sz w:val="26"/>
        <w:szCs w:val="26"/>
        <w:lang w:val="en-US"/>
      </w:rPr>
      <w:t>Carvalhão</w:t>
    </w:r>
    <w:proofErr w:type="spellEnd"/>
    <w:r w:rsidRPr="00D13B3A">
      <w:rPr>
        <w:bCs/>
        <w:sz w:val="26"/>
        <w:szCs w:val="26"/>
        <w:lang w:val="en-US"/>
      </w:rPr>
      <w:t xml:space="preserve"> Sousa</w:t>
    </w:r>
  </w:p>
  <w:p w:rsidR="004D0569" w:rsidRPr="00D13B3A" w:rsidRDefault="004D0569" w:rsidP="004D0569">
    <w:pPr>
      <w:tabs>
        <w:tab w:val="left" w:pos="2127"/>
      </w:tabs>
      <w:ind w:left="2127"/>
      <w:jc w:val="both"/>
      <w:rPr>
        <w:szCs w:val="28"/>
        <w:lang w:val="en-US"/>
      </w:rPr>
    </w:pPr>
    <w:proofErr w:type="spellStart"/>
    <w:r w:rsidRPr="00D13B3A">
      <w:rPr>
        <w:szCs w:val="28"/>
        <w:lang w:val="en-US"/>
      </w:rPr>
      <w:t>Professora</w:t>
    </w:r>
    <w:proofErr w:type="spellEnd"/>
    <w:r w:rsidRPr="00D13B3A">
      <w:rPr>
        <w:szCs w:val="28"/>
        <w:lang w:val="en-US"/>
      </w:rPr>
      <w:t xml:space="preserve"> </w:t>
    </w:r>
    <w:proofErr w:type="spellStart"/>
    <w:r w:rsidRPr="00D13B3A">
      <w:rPr>
        <w:szCs w:val="28"/>
        <w:lang w:val="en-US"/>
      </w:rPr>
      <w:t>Catedrática</w:t>
    </w:r>
    <w:proofErr w:type="spellEnd"/>
    <w:r w:rsidRPr="00D13B3A">
      <w:rPr>
        <w:szCs w:val="28"/>
        <w:lang w:val="en-US"/>
      </w:rPr>
      <w:t xml:space="preserve"> do ISEG – </w:t>
    </w:r>
    <w:r w:rsidRPr="00D13B3A">
      <w:rPr>
        <w:i/>
        <w:szCs w:val="28"/>
        <w:lang w:val="en-US"/>
      </w:rPr>
      <w:t>Lisbon School of Economics and Management</w:t>
    </w:r>
    <w:r w:rsidRPr="00D13B3A">
      <w:rPr>
        <w:szCs w:val="28"/>
        <w:lang w:val="en-US"/>
      </w:rPr>
      <w:t xml:space="preserve"> da </w:t>
    </w:r>
    <w:proofErr w:type="spellStart"/>
    <w:r w:rsidRPr="00D13B3A">
      <w:rPr>
        <w:szCs w:val="28"/>
        <w:lang w:val="en-US"/>
      </w:rPr>
      <w:t>Universidade</w:t>
    </w:r>
    <w:proofErr w:type="spellEnd"/>
    <w:r w:rsidRPr="00D13B3A">
      <w:rPr>
        <w:szCs w:val="28"/>
        <w:lang w:val="en-US"/>
      </w:rPr>
      <w:t xml:space="preserve"> de </w:t>
    </w:r>
    <w:proofErr w:type="spellStart"/>
    <w:r w:rsidRPr="00D13B3A">
      <w:rPr>
        <w:szCs w:val="28"/>
        <w:lang w:val="en-US"/>
      </w:rPr>
      <w:t>Lisboa</w:t>
    </w:r>
    <w:proofErr w:type="spellEnd"/>
  </w:p>
  <w:p w:rsidR="004D0569" w:rsidRPr="00D13B3A" w:rsidRDefault="004D0569" w:rsidP="004D0569">
    <w:pPr>
      <w:tabs>
        <w:tab w:val="left" w:pos="2127"/>
      </w:tabs>
      <w:ind w:left="2127"/>
      <w:jc w:val="both"/>
      <w:rPr>
        <w:b/>
        <w:sz w:val="26"/>
        <w:szCs w:val="26"/>
        <w:lang w:val="en-US"/>
      </w:rPr>
    </w:pPr>
  </w:p>
  <w:p w:rsidR="004D0569" w:rsidRPr="00D13B3A" w:rsidRDefault="004D0569" w:rsidP="004D0569">
    <w:pPr>
      <w:tabs>
        <w:tab w:val="left" w:pos="0"/>
      </w:tabs>
      <w:jc w:val="center"/>
      <w:rPr>
        <w:b/>
        <w:sz w:val="26"/>
        <w:szCs w:val="26"/>
        <w:lang w:val="en-US"/>
      </w:rPr>
    </w:pPr>
    <w:proofErr w:type="spellStart"/>
    <w:r w:rsidRPr="00D13B3A">
      <w:rPr>
        <w:b/>
        <w:sz w:val="26"/>
        <w:szCs w:val="26"/>
        <w:lang w:val="en-US"/>
      </w:rPr>
      <w:t>Tese</w:t>
    </w:r>
    <w:proofErr w:type="spellEnd"/>
    <w:r w:rsidRPr="00D13B3A">
      <w:rPr>
        <w:b/>
        <w:sz w:val="26"/>
        <w:szCs w:val="26"/>
        <w:lang w:val="en-US"/>
      </w:rPr>
      <w:t xml:space="preserve"> </w:t>
    </w:r>
    <w:proofErr w:type="spellStart"/>
    <w:r w:rsidRPr="00D13B3A">
      <w:rPr>
        <w:b/>
        <w:sz w:val="26"/>
        <w:szCs w:val="26"/>
        <w:lang w:val="en-US"/>
      </w:rPr>
      <w:t>especialmente</w:t>
    </w:r>
    <w:proofErr w:type="spellEnd"/>
    <w:r w:rsidRPr="00D13B3A">
      <w:rPr>
        <w:b/>
        <w:sz w:val="26"/>
        <w:szCs w:val="26"/>
        <w:lang w:val="en-US"/>
      </w:rPr>
      <w:t xml:space="preserve"> </w:t>
    </w:r>
    <w:proofErr w:type="spellStart"/>
    <w:r w:rsidRPr="00D13B3A">
      <w:rPr>
        <w:b/>
        <w:sz w:val="26"/>
        <w:szCs w:val="26"/>
        <w:lang w:val="en-US"/>
      </w:rPr>
      <w:t>elaborada</w:t>
    </w:r>
    <w:proofErr w:type="spellEnd"/>
    <w:r w:rsidRPr="00D13B3A">
      <w:rPr>
        <w:b/>
        <w:sz w:val="26"/>
        <w:szCs w:val="26"/>
        <w:lang w:val="en-US"/>
      </w:rPr>
      <w:t xml:space="preserve"> para </w:t>
    </w:r>
    <w:proofErr w:type="spellStart"/>
    <w:r w:rsidRPr="00D13B3A">
      <w:rPr>
        <w:b/>
        <w:sz w:val="26"/>
        <w:szCs w:val="26"/>
        <w:lang w:val="en-US"/>
      </w:rPr>
      <w:t>obtenção</w:t>
    </w:r>
    <w:proofErr w:type="spellEnd"/>
    <w:r w:rsidRPr="00D13B3A">
      <w:rPr>
        <w:b/>
        <w:sz w:val="26"/>
        <w:szCs w:val="26"/>
        <w:lang w:val="en-US"/>
      </w:rPr>
      <w:t xml:space="preserve"> do </w:t>
    </w:r>
    <w:proofErr w:type="spellStart"/>
    <w:r w:rsidRPr="00D13B3A">
      <w:rPr>
        <w:b/>
        <w:sz w:val="26"/>
        <w:szCs w:val="26"/>
        <w:lang w:val="en-US"/>
      </w:rPr>
      <w:t>grau</w:t>
    </w:r>
    <w:proofErr w:type="spellEnd"/>
    <w:r w:rsidRPr="00D13B3A">
      <w:rPr>
        <w:b/>
        <w:sz w:val="26"/>
        <w:szCs w:val="26"/>
        <w:lang w:val="en-US"/>
      </w:rPr>
      <w:t xml:space="preserve"> de </w:t>
    </w:r>
    <w:proofErr w:type="spellStart"/>
    <w:r w:rsidRPr="00D13B3A">
      <w:rPr>
        <w:b/>
        <w:sz w:val="26"/>
        <w:szCs w:val="26"/>
        <w:lang w:val="en-US"/>
      </w:rPr>
      <w:t>Doutor</w:t>
    </w:r>
    <w:proofErr w:type="spellEnd"/>
    <w:r w:rsidRPr="00D13B3A">
      <w:rPr>
        <w:b/>
        <w:sz w:val="26"/>
        <w:szCs w:val="26"/>
        <w:lang w:val="en-US"/>
      </w:rPr>
      <w:t xml:space="preserve"> </w:t>
    </w:r>
    <w:proofErr w:type="spellStart"/>
    <w:r w:rsidRPr="00D13B3A">
      <w:rPr>
        <w:b/>
        <w:sz w:val="26"/>
        <w:szCs w:val="26"/>
        <w:lang w:val="en-US"/>
      </w:rPr>
      <w:t>em</w:t>
    </w:r>
    <w:proofErr w:type="spellEnd"/>
    <w:r w:rsidRPr="00D13B3A">
      <w:rPr>
        <w:b/>
        <w:sz w:val="26"/>
        <w:szCs w:val="26"/>
        <w:lang w:val="en-US"/>
      </w:rPr>
      <w:t xml:space="preserve"> Economia</w:t>
    </w:r>
  </w:p>
  <w:p w:rsidR="004D0569" w:rsidRDefault="004D0569">
    <w:pPr>
      <w:pStyle w:val="Cabealho"/>
    </w:pPr>
    <w:bookmarkStart w:id="0" w:name="_GoBack"/>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14F" w:rsidRDefault="00E226FD" w:rsidP="009672AF">
    <w:pPr>
      <w:pStyle w:val="Cabealho"/>
      <w:jc w:val="both"/>
    </w:pPr>
    <w:r>
      <w:rPr>
        <w:rFonts w:ascii="Times New Roman" w:hAnsi="Times New Roman"/>
        <w:b w:val="0"/>
        <w:bCs/>
        <w:caps w:val="0"/>
        <w:noProof/>
        <w:sz w:val="20"/>
        <w:lang w:val="pt-PT"/>
      </w:rPr>
      <mc:AlternateContent>
        <mc:Choice Requires="wps">
          <w:drawing>
            <wp:anchor distT="4294967294" distB="4294967294" distL="114300" distR="114300" simplePos="0" relativeHeight="251705344" behindDoc="0" locked="0" layoutInCell="0" allowOverlap="1">
              <wp:simplePos x="0" y="0"/>
              <wp:positionH relativeFrom="column">
                <wp:posOffset>0</wp:posOffset>
              </wp:positionH>
              <wp:positionV relativeFrom="paragraph">
                <wp:posOffset>213994</wp:posOffset>
              </wp:positionV>
              <wp:extent cx="5372100" cy="0"/>
              <wp:effectExtent l="0" t="0" r="0" b="0"/>
              <wp:wrapNone/>
              <wp:docPr id="1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D9EAAA" id="Line 67"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85pt" to="4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mBfgIAAJU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pq&#10;4M4xEMUDcPTYUYKCUNVmGkUCKhl95iq76kBfxkdW/RCIsqzFdEs0xtfjCHaOsrBuTNRBjBBhM31l&#10;NejgnWS6UIeGD8ollAAdNB/HCx/kIFEFl/4ydB0baKvObxZOzoYjF/ILYQNSQmr0AFo7xvtHIRUQ&#10;nJxVVBzKyq7vNd09vbkAxfmG6H6ZrXECIEBUmgqO5vJnbMdFVESe6blBYXp2npsPZeaZQemEfr7M&#10;syx3fikUjpe0XV0TqoKe+8rx/o+3U4fPHXHprEsC1q13nSlAfIPUcT177cZmGUSh6ZWeb8ahHZm2&#10;E6/jwPZiLy9vkWrW50GEAO9FiqbUiH3X11QI1ne1qoDCJvh2k/Uc7bEaRb10v8DLtRpnO1prmlqC&#10;6+IkS9z1s3yVvUL87+wfSt8OvWVkhqG/NL1lYZvrqMzMh8wJgrBYZ+viDU+F5l58DFXXjXSF9xTj&#10;D2TovHOX6bFRkzLP3IbVx2d+HieYfW10+qfU53J9Bvn6N139BgAA//8DAFBLAwQUAAYACAAAACEA&#10;uLud89wAAAAGAQAADwAAAGRycy9kb3ducmV2LnhtbEyPwU7DMBBE70j8g7VI3KgDQW2axqkQCDhw&#10;aotUcXPjJQmN15HtJunfs4gDHGdmNfO2WE+2EwP60DpScDtLQCBVzrRUK3jfPd9kIELUZHTnCBWc&#10;McC6vLwodG7cSBsctrEWXEIh1wqaGPtcylA1aHWYuR6Js0/nrY4sfS2N1yOX207eJclcWt0SLzS6&#10;x8cGq+P2ZBWEp+PefX2Mr9mw9Dt8O++rxUuq1PXV9LACEXGKf8fwg8/oUDLTwZ3IBNEp4EeigjRd&#10;gOA0u5+zcfg1ZFnI//jlNwAAAP//AwBQSwECLQAUAAYACAAAACEAtoM4kv4AAADhAQAAEwAAAAAA&#10;AAAAAAAAAAAAAAAAW0NvbnRlbnRfVHlwZXNdLnhtbFBLAQItABQABgAIAAAAIQA4/SH/1gAAAJQB&#10;AAALAAAAAAAAAAAAAAAAAC8BAABfcmVscy8ucmVsc1BLAQItABQABgAIAAAAIQCWgXmBfgIAAJUF&#10;AAAOAAAAAAAAAAAAAAAAAC4CAABkcnMvZTJvRG9jLnhtbFBLAQItABQABgAIAAAAIQC4u53z3AAA&#10;AAYBAAAPAAAAAAAAAAAAAAAAANgEAABkcnMvZG93bnJldi54bWxQSwUGAAAAAAQABADzAAAA4QUA&#10;AAAA&#10;" o:allowincell="f" stroked="f"/>
          </w:pict>
        </mc:Fallback>
      </mc:AlternateContent>
    </w:r>
    <w:r w:rsidR="0098614F">
      <w:rPr>
        <w:rFonts w:ascii="Times New Roman" w:hAnsi="Times New Roman"/>
        <w:b w:val="0"/>
        <w:bCs/>
        <w:caps w:val="0"/>
        <w:sz w:val="20"/>
        <w:lang w:val="en-US"/>
      </w:rPr>
      <w:t>Chapter 1 – An introduction to Global Value Chains</w:t>
    </w:r>
  </w:p>
  <w:p w:rsidR="0098614F" w:rsidRDefault="00E226FD" w:rsidP="009672AF">
    <w:pPr>
      <w:pStyle w:val="Cabealho"/>
      <w:rPr>
        <w:sz w:val="20"/>
      </w:rPr>
    </w:pPr>
    <w:r>
      <w:rPr>
        <w:rFonts w:ascii="Times New Roman" w:hAnsi="Times New Roman"/>
        <w:b w:val="0"/>
        <w:bCs/>
        <w:caps w:val="0"/>
        <w:noProof/>
        <w:sz w:val="20"/>
        <w:lang w:val="pt-PT"/>
      </w:rPr>
      <mc:AlternateContent>
        <mc:Choice Requires="wps">
          <w:drawing>
            <wp:anchor distT="4294967294" distB="4294967294" distL="114300" distR="114300" simplePos="0" relativeHeight="251704320" behindDoc="0" locked="0" layoutInCell="0" allowOverlap="1">
              <wp:simplePos x="0" y="0"/>
              <wp:positionH relativeFrom="column">
                <wp:posOffset>-114300</wp:posOffset>
              </wp:positionH>
              <wp:positionV relativeFrom="paragraph">
                <wp:posOffset>108584</wp:posOffset>
              </wp:positionV>
              <wp:extent cx="5715000" cy="0"/>
              <wp:effectExtent l="0" t="0" r="0" b="0"/>
              <wp:wrapNone/>
              <wp:docPr id="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837FA7" id="Line 60"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8.55pt" to="44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S6iwIAAGIFAAAOAAAAZHJzL2Uyb0RvYy54bWysVF1vmzAUfZ+0/2D5nQIJhASVVC2QvXRb&#10;pXbas4NNsAY2sp2QaNp/37UTWNO9TFNBsnz9cXzuOde+vTt2LTowpbkUGQ5vAoyYqCTlYpfhby8b&#10;b4mRNkRQ0krBMnxiGt+tP364HfqUzWQjW8oUAhCh06HPcGNMn/q+rhrWEX0jeyZgspaqIwZCtfOp&#10;IgOgd60/C4KFP0hFeyUrpjWMFudJvHb4dc0q87WuNTOozTBwM65Vrt3a1l/fknSnSN/w6kKD/AeL&#10;jnABh05QBTEE7RX/C6rjlZJa1uamkp0v65pXzOUA2YTBm2yeG9IzlwuIo/tJJv1+sNWXw5NCnGY4&#10;wkiQDix65IKhhZNm6HUKK3LxpGxy1VE894+y+qGRkHlDxI45ii+nHvaFVkz/aosNdA8HbIfPksIa&#10;sjfS6XSsVWchQQF0dHacJjvY0aAKBuMkjIMAXKvGOZ+k48ZeafOJyQ7ZToZbIO2AyeFRG0uEpOMS&#10;e46QG962zu1WoCHDq3gWuw1atpzaSbtMq902bxU6EFsv7nNZwczrZUruBXVgDSO0vPQN4e25D4e3&#10;wuIxV4JnRhAdDXTdOKToyuPnKliVy3IZedFsUXpRUBTe/SaPvMUmTOJiXuR5Ef6yRMMobTilTFiu&#10;Y6mG0b+VwuXSnItsKtZJFP8a3akHZK+Z3m/iIInmSy9J4rkXzcvAe1hucu8+DxeLpHzIH8o3TEuX&#10;vX4fspOUlpXcG6aeGzogyq3983g1CzEEcLVnydk3RNodvEmVURgpab5z07hqtXVmMa68Xgb2v3g9&#10;oZ+FGD200eTCJbc/UoHno7/uEti6t8+QTreSnp7UeDngIrtNl0fHvhSvY+i/fhrXvwEAAP//AwBQ&#10;SwMEFAAGAAgAAAAhAA3pOprcAAAACQEAAA8AAABkcnMvZG93bnJldi54bWxMj8FOwzAQRO9I/IO1&#10;SFyq1kmQIApxKgTkxoUWxHUbL0lEvE5jtw18PYs4wHFnRrNvyvXsBnWkKfSeDaSrBBRx423PrYGX&#10;bb3MQYWIbHHwTAY+KcC6Oj8rsbD+xM903MRWSQmHAg10MY6F1qHpyGFY+ZFYvHc/OYxyTq22E56k&#10;3A06S5Jr7bBn+dDhSPcdNR+bgzMQ6lfa11+LZpG8XbWesv3D0yMac3kx392CijTHvzD84As6VMK0&#10;8we2QQ0GlmkuW6IYNykoCeR5JsLuV9BVqf8vqL4BAAD//wMAUEsBAi0AFAAGAAgAAAAhALaDOJL+&#10;AAAA4QEAABMAAAAAAAAAAAAAAAAAAAAAAFtDb250ZW50X1R5cGVzXS54bWxQSwECLQAUAAYACAAA&#10;ACEAOP0h/9YAAACUAQAACwAAAAAAAAAAAAAAAAAvAQAAX3JlbHMvLnJlbHNQSwECLQAUAAYACAAA&#10;ACEASLuEuosCAABiBQAADgAAAAAAAAAAAAAAAAAuAgAAZHJzL2Uyb0RvYy54bWxQSwECLQAUAAYA&#10;CAAAACEADek6mtwAAAAJAQAADwAAAAAAAAAAAAAAAADlBAAAZHJzL2Rvd25yZXYueG1sUEsFBgAA&#10;AAAEAAQA8wAAAO4FAAAAAA==&#10;" o:allowincell="f"/>
          </w:pict>
        </mc:Fallback>
      </mc:AlternateContent>
    </w:r>
  </w:p>
  <w:p w:rsidR="0098614F" w:rsidRDefault="0098614F" w:rsidP="00551804">
    <w:pPr>
      <w:pStyle w:val="Cabealho"/>
      <w:rPr>
        <w:sz w:val="20"/>
      </w:rPr>
    </w:pPr>
  </w:p>
  <w:p w:rsidR="0098614F" w:rsidRPr="009672AF" w:rsidRDefault="00E226FD" w:rsidP="009672AF">
    <w:pPr>
      <w:pStyle w:val="Cabealho"/>
      <w:jc w:val="left"/>
      <w:rPr>
        <w:rFonts w:ascii="Times New Roman" w:hAnsi="Times New Roman"/>
        <w:b w:val="0"/>
        <w:bCs/>
        <w:sz w:val="20"/>
        <w:lang w:val="pt-PT"/>
      </w:rPr>
    </w:pPr>
    <w:r>
      <w:rPr>
        <w:rFonts w:ascii="Times New Roman" w:hAnsi="Times New Roman"/>
        <w:b w:val="0"/>
        <w:bCs/>
        <w:caps w:val="0"/>
        <w:noProof/>
        <w:sz w:val="20"/>
        <w:lang w:val="pt-PT"/>
      </w:rPr>
      <mc:AlternateContent>
        <mc:Choice Requires="wps">
          <w:drawing>
            <wp:anchor distT="4294967294" distB="4294967294" distL="114300" distR="114300" simplePos="0" relativeHeight="251703296" behindDoc="0" locked="0" layoutInCell="0" allowOverlap="1">
              <wp:simplePos x="0" y="0"/>
              <wp:positionH relativeFrom="column">
                <wp:posOffset>0</wp:posOffset>
              </wp:positionH>
              <wp:positionV relativeFrom="paragraph">
                <wp:posOffset>213994</wp:posOffset>
              </wp:positionV>
              <wp:extent cx="5372100" cy="0"/>
              <wp:effectExtent l="0" t="0" r="0" b="0"/>
              <wp:wrapNone/>
              <wp:docPr id="5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70F17B" id="Line 14"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85pt" to="4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6GgAIAAJUFAAAOAAAAZHJzL2Uyb0RvYy54bWysVMlu2zAQvRfoPxC6K1pMWQsiB7GWXtI0&#10;QNIPoCXKEiqRAslYNor+e4eU7dppD0UQHoghOcubeTO8vdsPPdpRITvOUsu7cS1EWcXrjm1T6/tL&#10;aUcWkoqwmvSc0dQ6UGndrT5/up3GhPq85X1NBQInTCbTmFqtUmPiOLJq6UDkDR8pg8eGi4EoOIqt&#10;Uwsygfehd3zXXToTF/UoeEWlhNt8frRWxn/T0Ep9axpJFepTC7Apswuzb/TurG5JshVkbLvqCIO8&#10;A8VAOgZBz65yogh6Fd1froauElzyRt1UfHB403QVNTlANp77JpvnlozU5ALFkeO5TPLj3FaPuyeB&#10;ujq1As9CjAzA0UPHKPKwrs00ygRUMvYkdHbVnj2PD7z6IRHjWUvYlhqML4cR7Dxt4VyZ6IMcIcJm&#10;+spr0CGviptC7RsxaJdQArQ3fBzOfNC9QhVcBovQ91ygrTq9OSQ5GY5Cqi+UD0gLqdUDaOOY7B6k&#10;0kBIclLRcRgvu743dPfs6gIU5xtq+mW2JgmAAFFrajiGy5+xGxdREWEb+8vCxm6e2/dlhu1l6YVB&#10;vsizLPd+aRQeTtqurinTQU995eH/4+3Y4XNHnDvrnIBz7d1kChDfIPV87K792C6XUWjjEgd2HLqR&#10;7XrxOl66OMZ5eY3UsD4PIgR4L1I0pVYc+IGhQvK+q3UFNDYptpusF2hH9CiaZfoFXi7VBH9ltaGp&#10;paQujrIiXT/LF9lrxP/O/r4M3BAvIjsMg4WNF4Vrr6Mys+8zb7kMi3W2Lt7wVBju5cdQddlIF3iP&#10;Mf5Ahs47dZkZGz0p88xteH14Eqdxgtk3Rsd/Sn8ul2eQL3/T1W8AAAD//wMAUEsDBBQABgAIAAAA&#10;IQC4u53z3AAAAAYBAAAPAAAAZHJzL2Rvd25yZXYueG1sTI/BTsMwEETvSPyDtUjcqANBbZrGqRAI&#10;OHBqi1Rxc+MlCY3Xke0m6d+ziAMcZ2Y187ZYT7YTA/rQOlJwO0tAIFXOtFQreN8932QgQtRkdOcI&#10;FZwxwLq8vCh0btxIGxy2sRZcQiHXCpoY+1zKUDVodZi5HomzT+etjix9LY3XI5fbTt4lyVxa3RIv&#10;NLrHxwar4/ZkFYSn4959fYyv2bD0O3w776vFS6rU9dX0sAIRcYp/x/CDz+hQMtPBncgE0SngR6KC&#10;NF2A4DS7n7Nx+DVkWcj/+OU3AAAA//8DAFBLAQItABQABgAIAAAAIQC2gziS/gAAAOEBAAATAAAA&#10;AAAAAAAAAAAAAAAAAABbQ29udGVudF9UeXBlc10ueG1sUEsBAi0AFAAGAAgAAAAhADj9If/WAAAA&#10;lAEAAAsAAAAAAAAAAAAAAAAALwEAAF9yZWxzLy5yZWxzUEsBAi0AFAAGAAgAAAAhAHGd/oaAAgAA&#10;lQUAAA4AAAAAAAAAAAAAAAAALgIAAGRycy9lMm9Eb2MueG1sUEsBAi0AFAAGAAgAAAAhALi7nfPc&#10;AAAABgEAAA8AAAAAAAAAAAAAAAAA2gQAAGRycy9kb3ducmV2LnhtbFBLBQYAAAAABAAEAPMAAADj&#10;BQAAAAA=&#10;" o:allowincell="f"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14F" w:rsidRDefault="00E226FD" w:rsidP="00551804">
    <w:pPr>
      <w:pStyle w:val="Cabealho"/>
      <w:jc w:val="both"/>
    </w:pPr>
    <w:r>
      <w:rPr>
        <w:rFonts w:ascii="Times New Roman" w:hAnsi="Times New Roman"/>
        <w:b w:val="0"/>
        <w:bCs/>
        <w:caps w:val="0"/>
        <w:noProof/>
        <w:sz w:val="20"/>
        <w:lang w:val="pt-PT"/>
      </w:rPr>
      <mc:AlternateContent>
        <mc:Choice Requires="wps">
          <w:drawing>
            <wp:anchor distT="4294967294" distB="4294967294" distL="114300" distR="114300" simplePos="0" relativeHeight="251675648" behindDoc="0" locked="0" layoutInCell="0" allowOverlap="1">
              <wp:simplePos x="0" y="0"/>
              <wp:positionH relativeFrom="column">
                <wp:posOffset>0</wp:posOffset>
              </wp:positionH>
              <wp:positionV relativeFrom="paragraph">
                <wp:posOffset>213994</wp:posOffset>
              </wp:positionV>
              <wp:extent cx="5372100" cy="0"/>
              <wp:effectExtent l="0" t="0" r="0" b="0"/>
              <wp:wrapNone/>
              <wp:docPr id="4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5C54D" id="Line 67"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85pt" to="4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a6fwIAAJU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CiYUYGYGjh55RFEa6NrtJpqCSsyehs6v37Hl64PUPiRjPO8I21GB8OUxg52kL58pEH+QEEda7&#10;r7wBHfKquCnUvhWjdgklQHvDx+HMB90rVMNlsIh8zwXa6tObQ9KT4SSk+kL5iLSQWQOANo7J9kEq&#10;DYSkJxUdh/GqHwZD98CuLkBxvqGmX2ZrkgIIELWmhmO4/Jm4SRmXMbaxH5Y2dovCvq9ybIeVFwXF&#10;osjzwvulUXg47fqmoUwHPfWVh/+Pt2OHzx1x7qxzAs61d5MpQHyD1POxu/ITuwrjyMYVDuwkcmPb&#10;9ZJVEro4wUV1jdSwPg8iBHgvUrTLrCTwA0OF5EPf6ApobFJs1vkg0JboUTTL9Au8XKoJ/soaQ1NH&#10;SVMeZUX6YZYvsteI/539fRW4EV7EdhQFCxsvStdexVVu3+deGEblKl+Vb3gqDffyY6i6bKQLvMcY&#10;fyBD5526zIyNnpR55ta8OTyJ0zjB7Buj4z+lP5fLM8iXv+nyNwAAAP//AwBQSwMEFAAGAAgAAAAh&#10;ALi7nfPcAAAABgEAAA8AAABkcnMvZG93bnJldi54bWxMj8FOwzAQRO9I/IO1SNyoA0FtmsapEAg4&#10;cGqLVHFz4yUJjdeR7Sbp37OIAxxnZjXztlhPthMD+tA6UnA7S0AgVc60VCt43z3fZCBC1GR05wgV&#10;nDHAury8KHRu3EgbHLaxFlxCIdcKmhj7XMpQNWh1mLkeibNP562OLH0tjdcjl9tO3iXJXFrdEi80&#10;usfHBqvj9mQVhKfj3n19jK/ZsPQ7fDvvq8VLqtT11fSwAhFxin/H8IPP6FAy08GdyATRKeBHooI0&#10;XYDgNLufs3H4NWRZyP/45TcAAAD//wMAUEsBAi0AFAAGAAgAAAAhALaDOJL+AAAA4QEAABMAAAAA&#10;AAAAAAAAAAAAAAAAAFtDb250ZW50X1R5cGVzXS54bWxQSwECLQAUAAYACAAAACEAOP0h/9YAAACU&#10;AQAACwAAAAAAAAAAAAAAAAAvAQAAX3JlbHMvLnJlbHNQSwECLQAUAAYACAAAACEA/eKGun8CAACV&#10;BQAADgAAAAAAAAAAAAAAAAAuAgAAZHJzL2Uyb0RvYy54bWxQSwECLQAUAAYACAAAACEAuLud89wA&#10;AAAGAQAADwAAAAAAAAAAAAAAAADZBAAAZHJzL2Rvd25yZXYueG1sUEsFBgAAAAAEAAQA8wAAAOIF&#10;AAAAAA==&#10;" o:allowincell="f" stroked="f"/>
          </w:pict>
        </mc:Fallback>
      </mc:AlternateContent>
    </w:r>
    <w:r w:rsidR="0098614F">
      <w:rPr>
        <w:rFonts w:ascii="Times New Roman" w:hAnsi="Times New Roman"/>
        <w:b w:val="0"/>
        <w:bCs/>
        <w:caps w:val="0"/>
        <w:sz w:val="20"/>
        <w:lang w:val="en-US"/>
      </w:rPr>
      <w:t>Chapter 1 – An introduction to Global Value Chains</w:t>
    </w:r>
  </w:p>
  <w:p w:rsidR="0098614F" w:rsidRDefault="00E226FD" w:rsidP="00551804">
    <w:pPr>
      <w:pStyle w:val="Cabealho"/>
      <w:rPr>
        <w:sz w:val="20"/>
      </w:rPr>
    </w:pPr>
    <w:r>
      <w:rPr>
        <w:rFonts w:ascii="Times New Roman" w:hAnsi="Times New Roman"/>
        <w:b w:val="0"/>
        <w:bCs/>
        <w:caps w:val="0"/>
        <w:noProof/>
        <w:sz w:val="20"/>
        <w:lang w:val="pt-PT"/>
      </w:rPr>
      <mc:AlternateContent>
        <mc:Choice Requires="wps">
          <w:drawing>
            <wp:anchor distT="4294967294" distB="4294967294" distL="114300" distR="114300" simplePos="0" relativeHeight="251674624" behindDoc="0" locked="0" layoutInCell="0" allowOverlap="1">
              <wp:simplePos x="0" y="0"/>
              <wp:positionH relativeFrom="column">
                <wp:posOffset>-114300</wp:posOffset>
              </wp:positionH>
              <wp:positionV relativeFrom="paragraph">
                <wp:posOffset>108584</wp:posOffset>
              </wp:positionV>
              <wp:extent cx="5715000" cy="0"/>
              <wp:effectExtent l="0" t="0" r="0" b="0"/>
              <wp:wrapNone/>
              <wp:docPr id="4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E30551" id="Line 60"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8.55pt" to="44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0driwIAAGMFAAAOAAAAZHJzL2Uyb0RvYy54bWysVF1vmzAUfZ+0/2DxToEEQoJKqhbIXrqt&#10;Ujvt2bFNsAY2sp2QaNp/37UTWNO9TFNBsnz9cXzuOde+vTt2LTowpbkUuRfdhB5igkjKxS73vr1s&#10;/KWHtMGC4lYKlnsnpr279ccPt0OfsZlsZEuZQgAidDb0udcY02dBoEnDOqxvZM8ETNZSddhAqHYB&#10;VXgA9K4NZmG4CAapaK8kYVrDaHme9NYOv64ZMV/rWjOD2twDbsa1yrVb2wbrW5ztFO4bTi408H+w&#10;6DAXcOgEVWKD0V7xv6A6TpTUsjY3RHaBrGtOmMsBsonCN9k8N7hnLhcQR/eTTPr9YMmXw5NCnOZe&#10;DE4J3IFHj1wwtHDaDL3OYEkhnpTNjhzFc/8oyQ+NhCwaLHbMcXw59bAvsmoGV1tsoHs4YTt8lhTW&#10;4L2RTqhjrToLCRKgo/PjNPnBjgYRGEzSKAlDsI2McwHOxo290uYTkx2yndxrgbQDxodHbSwRnI1L&#10;7DlCbnjbOrtbgYbcWyWzxG3QsuXUTtplWu22RavQAduCcZ/LCmZeL1NyL6gDaxim1aVvMG/PfTi8&#10;FRaPuRo8M4LoaKDrxiFFVx8/V+GqWlbL2I9ni8qPw7L07zdF7C82UZqU87IoyuiXJRrFWcMpZcJy&#10;HWs1iv+tFi635lxlU7VOogTX6E49IHvN9H6ThGk8X/ppmsz9eF6F/sNyU/j3RbRYpNVD8VC9YVq5&#10;7PX7kJ2ktKzk3jD13NABUW7tnyerWeRBAHd7lp59Q7jdwaNEjPKQkuY7N42rVltnFuPK62Vo/4vX&#10;E/pZiNFDG00uXHL7IxV4PvrrLoGte/sO6Wwr6elJjZcDbrLbdHl17FPxOob+67dx/RsAAP//AwBQ&#10;SwMEFAAGAAgAAAAhAA3pOprcAAAACQEAAA8AAABkcnMvZG93bnJldi54bWxMj8FOwzAQRO9I/IO1&#10;SFyq1kmQIApxKgTkxoUWxHUbL0lEvE5jtw18PYs4wHFnRrNvyvXsBnWkKfSeDaSrBBRx423PrYGX&#10;bb3MQYWIbHHwTAY+KcC6Oj8rsbD+xM903MRWSQmHAg10MY6F1qHpyGFY+ZFYvHc/OYxyTq22E56k&#10;3A06S5Jr7bBn+dDhSPcdNR+bgzMQ6lfa11+LZpG8XbWesv3D0yMac3kx392CijTHvzD84As6VMK0&#10;8we2QQ0GlmkuW6IYNykoCeR5JsLuV9BVqf8vqL4BAAD//wMAUEsBAi0AFAAGAAgAAAAhALaDOJL+&#10;AAAA4QEAABMAAAAAAAAAAAAAAAAAAAAAAFtDb250ZW50X1R5cGVzXS54bWxQSwECLQAUAAYACAAA&#10;ACEAOP0h/9YAAACUAQAACwAAAAAAAAAAAAAAAAAvAQAAX3JlbHMvLnJlbHNQSwECLQAUAAYACAAA&#10;ACEA979Ha4sCAABjBQAADgAAAAAAAAAAAAAAAAAuAgAAZHJzL2Uyb0RvYy54bWxQSwECLQAUAAYA&#10;CAAAACEADek6mtwAAAAJAQAADwAAAAAAAAAAAAAAAADlBAAAZHJzL2Rvd25yZXYueG1sUEsFBgAA&#10;AAAEAAQA8wAAAO4FAAAAAA==&#10;" o:allowincell="f"/>
          </w:pict>
        </mc:Fallback>
      </mc:AlternateContent>
    </w:r>
  </w:p>
  <w:p w:rsidR="0098614F" w:rsidRDefault="00E226FD">
    <w:pPr>
      <w:pStyle w:val="Cabealho"/>
      <w:jc w:val="left"/>
      <w:rPr>
        <w:rFonts w:ascii="Times New Roman" w:hAnsi="Times New Roman"/>
        <w:b w:val="0"/>
        <w:bCs/>
        <w:sz w:val="20"/>
        <w:lang w:val="pt-PT"/>
      </w:rPr>
    </w:pPr>
    <w:r>
      <w:rPr>
        <w:rFonts w:ascii="Times New Roman" w:hAnsi="Times New Roman"/>
        <w:b w:val="0"/>
        <w:bCs/>
        <w:caps w:val="0"/>
        <w:noProof/>
        <w:sz w:val="20"/>
        <w:lang w:val="pt-PT"/>
      </w:rPr>
      <mc:AlternateContent>
        <mc:Choice Requires="wps">
          <w:drawing>
            <wp:anchor distT="4294967294" distB="4294967294" distL="114300" distR="114300" simplePos="0" relativeHeight="251652096" behindDoc="0" locked="0" layoutInCell="0" allowOverlap="1">
              <wp:simplePos x="0" y="0"/>
              <wp:positionH relativeFrom="column">
                <wp:posOffset>0</wp:posOffset>
              </wp:positionH>
              <wp:positionV relativeFrom="paragraph">
                <wp:posOffset>213994</wp:posOffset>
              </wp:positionV>
              <wp:extent cx="5372100" cy="0"/>
              <wp:effectExtent l="0" t="0" r="0" b="0"/>
              <wp:wrapNone/>
              <wp:docPr id="4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CD7729" id="Line 14"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85pt" to="4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y9gAIAAJUFAAAOAAAAZHJzL2Uyb0RvYy54bWysVMlu2zAQvRfoPxC6K1pMWQsiB7GWXtI0&#10;QNIPoCXKEiqRAslYNor+e4eU7dppD0UQHoghOcubeTO8vdsPPdpRITvOUsu7cS1EWcXrjm1T6/tL&#10;aUcWkoqwmvSc0dQ6UGndrT5/up3GhPq85X1NBQInTCbTmFqtUmPiOLJq6UDkDR8pg8eGi4EoOIqt&#10;Uwsygfehd3zXXToTF/UoeEWlhNt8frRWxn/T0Ep9axpJFepTC7Apswuzb/TurG5JshVkbLvqCIO8&#10;A8VAOgZBz65yogh6Fd1froauElzyRt1UfHB403QVNTlANp77JpvnlozU5ALFkeO5TPLj3FaPuyeB&#10;ujq1cGghRgbg6KFjFHlY12YaZQIqGXsSOrtqz57HB179kIjxrCVsSw3Gl8MIdp62cK5M9EGOEGEz&#10;feU16JBXxU2h9o0YtEsoAdobPg5nPuheoQoug0Xoey7QVp3eHJKcDEch1RfKB6SF1OoBtHFMdg9S&#10;aSAkOanoOIyXXd8bunt2dQGK8w01/TJbkwRAgKg1NRzD5c/YjYuoiLCN/WVhYzfP7fsyw/ay9MIg&#10;X+RZlnu/NAoPJ21X15TpoKe+8vD/8Xbs8Lkjzp11TsC59m4yBYhvkHo+dtd+bJfLKLRxiQM7Dt3I&#10;dr14HS9dHOO8vEZqWJ8HEQK8FymaUisO/MBQIXnf1boCGpsU203WC7QjehTNMv0CL5dqgr+y2tDU&#10;UlIXR1mRrp/li+w14n9nf18GbogXkR2GwcLGi8K111GZ2feZt1yGxTpbF294Kgz38mOoumykC7zH&#10;GH8gQ+edusyMjZ6UeeY2vD48idM4wewbo+M/pT+XyzPIl7/p6jcAAAD//wMAUEsDBBQABgAIAAAA&#10;IQC4u53z3AAAAAYBAAAPAAAAZHJzL2Rvd25yZXYueG1sTI/BTsMwEETvSPyDtUjcqANBbZrGqRAI&#10;OHBqi1Rxc+MlCY3Xke0m6d+ziAMcZ2Y187ZYT7YTA/rQOlJwO0tAIFXOtFQreN8932QgQtRkdOcI&#10;FZwxwLq8vCh0btxIGxy2sRZcQiHXCpoY+1zKUDVodZi5HomzT+etjix9LY3XI5fbTt4lyVxa3RIv&#10;NLrHxwar4/ZkFYSn4959fYyv2bD0O3w776vFS6rU9dX0sAIRcYp/x/CDz+hQMtPBncgE0SngR6KC&#10;NF2A4DS7n7Nx+DVkWcj/+OU3AAAA//8DAFBLAQItABQABgAIAAAAIQC2gziS/gAAAOEBAAATAAAA&#10;AAAAAAAAAAAAAAAAAABbQ29udGVudF9UeXBlc10ueG1sUEsBAi0AFAAGAAgAAAAhADj9If/WAAAA&#10;lAEAAAsAAAAAAAAAAAAAAAAALwEAAF9yZWxzLy5yZWxzUEsBAi0AFAAGAAgAAAAhADlCrL2AAgAA&#10;lQUAAA4AAAAAAAAAAAAAAAAALgIAAGRycy9lMm9Eb2MueG1sUEsBAi0AFAAGAAgAAAAhALi7nfPc&#10;AAAABgEAAA8AAAAAAAAAAAAAAAAA2gQAAGRycy9kb3ducmV2LnhtbFBLBQYAAAAABAAEAPMAAADj&#10;BQAAAAA=&#10;" o:allowincell="f"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14F" w:rsidRDefault="00E226FD">
    <w:pPr>
      <w:pStyle w:val="Cabealho"/>
      <w:jc w:val="left"/>
      <w:rPr>
        <w:rFonts w:ascii="Times New Roman" w:hAnsi="Times New Roman"/>
        <w:b w:val="0"/>
        <w:bCs/>
        <w:sz w:val="20"/>
        <w:lang w:val="pt-PT"/>
      </w:rPr>
    </w:pPr>
    <w:r>
      <w:rPr>
        <w:rFonts w:ascii="Times New Roman" w:hAnsi="Times New Roman"/>
        <w:b w:val="0"/>
        <w:bCs/>
        <w:caps w:val="0"/>
        <w:noProof/>
        <w:sz w:val="20"/>
        <w:lang w:val="pt-PT"/>
      </w:rPr>
      <mc:AlternateContent>
        <mc:Choice Requires="wps">
          <w:drawing>
            <wp:anchor distT="4294967293" distB="4294967293" distL="114300" distR="114300" simplePos="0" relativeHeight="251691008" behindDoc="0" locked="0" layoutInCell="0" allowOverlap="1">
              <wp:simplePos x="0" y="0"/>
              <wp:positionH relativeFrom="column">
                <wp:posOffset>0</wp:posOffset>
              </wp:positionH>
              <wp:positionV relativeFrom="paragraph">
                <wp:posOffset>213994</wp:posOffset>
              </wp:positionV>
              <wp:extent cx="5372100" cy="0"/>
              <wp:effectExtent l="0" t="0" r="0" b="0"/>
              <wp:wrapNone/>
              <wp:docPr id="36" name="Conexão rect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3958C7" id="Conexão recta 36"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6.85pt" to="4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HSigIAAJ8FAAAOAAAAZHJzL2Uyb0RvYy54bWysVMlu2zAQvRfoPxC8K1qsHZGLWEsvaRsg&#10;6QfQEmUJlUiBZCwbRb+mn9If65Beaqc9FE11EIaz8c28Gd6+240D2lIhe84y7N44GFFW86Znmwx/&#10;fqqsGCOpCGvIwBnN8J5K/G759s3tPKXU4x0fGioQJGEynacMd0pNqW3LuqMjkTd8ogyMLRcjUXAU&#10;G7sRZIbs42B7jhPaMxfNJHhNpQRtcTDipcnftrRWn9pWUoWGDAM2Zf7C/Nf6by9vSboRZOr6+giD&#10;/AOKkfQMLj2nKogi6Fn0v6Ua+1pwyVt1U/PR5m3b19TUANW4zotqHjsyUVMLNEdO5zbJ/5e2/rh9&#10;EKhvMrwIMWJkBI5yYGr34ztHAtpHEBigS/MkU3DO2YPQddY79jjd8/qLRIznHWEbatA+7SfI4OoI&#10;+ypEH+QEd63nD7wBH/KsuGnZrhWjTgnNQDvDzP7MDN0pVIMyWESe6wCB9clmk/QUOAmp3lM+Ii1k&#10;eOiZbhpJyfZeKg2EpCcXrWa86ofBED+wKwU4HjTUTM4hmqQAAkTtqeEYVr8mTlLGZexbvheWlu8U&#10;hXVX5b4VVm4UFIsizwv3m0bh+mnXNw1l+tLThLn+3zF4nPXDbJxn7FyAfZ3dVAoQXyB1Pd9ZeYlV&#10;hXFk+ZUfWEnkxJbjJqskdPzEL6prpPfQwNcjRXOGk8ALDBWSD32jO6CxSbFZ54NAW6KX0nxmXsBy&#10;6Sb4M2sMTR0lTXmUFemHg3xRvUb85+rvqsCJ/EVsRVGwsPxF6ViruMqtu9wNw6hc5avyBU+l4V6+&#10;vgGGhotBusB7vOMXZJi805SZtdGbcti5NW/2D+K0TvAKmKDji6WfmcszyJfv6vInAAAA//8DAFBL&#10;AwQUAAYACAAAACEAuLud89wAAAAGAQAADwAAAGRycy9kb3ducmV2LnhtbEyPwU7DMBBE70j8g7VI&#10;3KgDQW2axqkQCDhwaotUcXPjJQmN15HtJunfs4gDHGdmNfO2WE+2EwP60DpScDtLQCBVzrRUK3jf&#10;Pd9kIELUZHTnCBWcMcC6vLwodG7cSBsctrEWXEIh1wqaGPtcylA1aHWYuR6Js0/nrY4sfS2N1yOX&#10;207eJclcWt0SLzS6x8cGq+P2ZBWEp+PefX2Mr9mw9Dt8O++rxUuq1PXV9LACEXGKf8fwg8/oUDLT&#10;wZ3IBNEp4EeigjRdgOA0u5+zcfg1ZFnI//jlNwAAAP//AwBQSwECLQAUAAYACAAAACEAtoM4kv4A&#10;AADhAQAAEwAAAAAAAAAAAAAAAAAAAAAAW0NvbnRlbnRfVHlwZXNdLnhtbFBLAQItABQABgAIAAAA&#10;IQA4/SH/1gAAAJQBAAALAAAAAAAAAAAAAAAAAC8BAABfcmVscy8ucmVsc1BLAQItABQABgAIAAAA&#10;IQBG7HHSigIAAJ8FAAAOAAAAAAAAAAAAAAAAAC4CAABkcnMvZTJvRG9jLnhtbFBLAQItABQABgAI&#10;AAAAIQC4u53z3AAAAAYBAAAPAAAAAAAAAAAAAAAAAOQEAABkcnMvZG93bnJldi54bWxQSwUGAAAA&#10;AAQABADzAAAA7QUAAAAA&#10;" o:allowincell="f" stroked="f"/>
          </w:pict>
        </mc:Fallback>
      </mc:AlternateContent>
    </w:r>
    <w:r w:rsidR="0098614F">
      <w:rPr>
        <w:rFonts w:ascii="Times New Roman" w:hAnsi="Times New Roman"/>
        <w:b w:val="0"/>
        <w:bCs/>
        <w:caps w:val="0"/>
        <w:noProof/>
        <w:sz w:val="20"/>
        <w:lang w:val="pt-PT"/>
      </w:rPr>
      <w:t>Annexes</w:t>
    </w:r>
  </w:p>
  <w:p w:rsidR="0098614F" w:rsidRDefault="00E226FD">
    <w:pPr>
      <w:pStyle w:val="Cabealho"/>
    </w:pPr>
    <w:r>
      <w:rPr>
        <w:rFonts w:ascii="Times New Roman" w:hAnsi="Times New Roman"/>
        <w:b w:val="0"/>
        <w:bCs/>
        <w:caps w:val="0"/>
        <w:noProof/>
        <w:sz w:val="20"/>
        <w:lang w:val="pt-PT"/>
      </w:rPr>
      <mc:AlternateContent>
        <mc:Choice Requires="wps">
          <w:drawing>
            <wp:anchor distT="4294967293" distB="4294967293" distL="114300" distR="114300" simplePos="0" relativeHeight="251692032" behindDoc="0" locked="0" layoutInCell="0" allowOverlap="1">
              <wp:simplePos x="0" y="0"/>
              <wp:positionH relativeFrom="column">
                <wp:posOffset>-294005</wp:posOffset>
              </wp:positionH>
              <wp:positionV relativeFrom="paragraph">
                <wp:posOffset>26034</wp:posOffset>
              </wp:positionV>
              <wp:extent cx="9010015" cy="0"/>
              <wp:effectExtent l="0" t="0" r="0" b="0"/>
              <wp:wrapNone/>
              <wp:docPr id="33" name="Conexão rect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00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BA03AC" id="Conexão recta 33" o:spid="_x0000_s1026" style="position:absolute;z-index:251692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15pt,2.05pt" to="686.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s+lgIAAG0FAAAOAAAAZHJzL2Uyb0RvYy54bWysVMtu2zAQvBfoPxC8K5Js+SXEDhJZ7iVt&#10;AyRFz7RIWUQpUiBpS0bRr+mn9Me6pC3VTi9FERsQuHwMZ2d2eXvX1QIdmDZcySWObyKMmCwU5XK3&#10;xF9eNsEcI2OJpEQoyZb4yAy+W71/d9s2KRupSgnKNAIQadK2WeLK2iYNQ1NUrCbmRjVMwmKpdE0s&#10;hHoXUk1aQK9FOIqiadgqTRutCmYMzK5Pi3jl8cuSFfZzWRpmkVhi4Gb9V/vv1n3D1S1Jd5o0FS/O&#10;NMh/sKgJl3DpALUmlqC95n9B1bzQyqjS3hSqDlVZ8oL5HCCbOHqVzXNFGuZzAXFMM8hk3g62+HR4&#10;0ojTJR6PMZKkBo8ycKr79VMhDfIRBAugUtuYFDZn8km7PItOPjePqvhmkFRZReSOebYvxwYQYnci&#10;vDriAtPAXdv2o6Kwh+yt8pJ1pa4dJIiBOu/McXCGdRYVMLkAcaJ4glHRr4Uk7Q822tgPTNXIDZZY&#10;cOlEIyk5PBrriJC03+KmpdpwIbzxQqIWwCejiT9glODULbptRu+2mdDoQFzp+J/PClYut2m1l9SD&#10;VYzQ/Dy2hIvTGC4X0uExX40nRhB1FoZ+HlL0lfJ9ES3yeT5PgmQ0zYMkWq+D+02WBNNNPJusx+ss&#10;W8c/HNE4SStOKZOOa1+1cfJvVXHun1O9DXU7iBJeo3v1gOw10/vNJJol43kwm03GQTLOo+BhvsmC&#10;+yyeTmf5Q/aQv2Ka++zN25AdpHSs1N4y/VzRFlHu7B9PFqMYQwBdPpqdfENE7OB5KqzGSCv7ldvK&#10;V6urM4dx5fU8cv+z1wP6SYjeQxcNLpxz+yMVeN7765vA1f2pg7aKHp903xzQ0/7Q+f1xj8ZlDOPL&#10;V3L1GwAA//8DAFBLAwQUAAYACAAAACEAfBwfkt0AAAAIAQAADwAAAGRycy9kb3ducmV2LnhtbEyP&#10;QU/CQBCF7yb8h82QeCGwpSXV1G6JUXvzImq8Dt2hbejOlu4C1V/vwkWPb97Le9/k69F04kSDay0r&#10;WC4iEMSV1S3XCj7ey/k9COeRNXaWScE3OVgXk5scM23P/Eanja9FKGGXoYLG+z6T0lUNGXQL2xMH&#10;b2cHgz7IoZZ6wHMoN52MoyiVBlsOCw329NRQtd8cjQJXftKh/JlVs+grqS3Fh+fXF1Tqdjo+PoDw&#10;NPq/MFzwAzoUgWlrj6yd6BTMV2kSogpWSxAXP7mLUxDb60EWufz/QPELAAD//wMAUEsBAi0AFAAG&#10;AAgAAAAhALaDOJL+AAAA4QEAABMAAAAAAAAAAAAAAAAAAAAAAFtDb250ZW50X1R5cGVzXS54bWxQ&#10;SwECLQAUAAYACAAAACEAOP0h/9YAAACUAQAACwAAAAAAAAAAAAAAAAAvAQAAX3JlbHMvLnJlbHNQ&#10;SwECLQAUAAYACAAAACEAA2VbPpYCAABtBQAADgAAAAAAAAAAAAAAAAAuAgAAZHJzL2Uyb0RvYy54&#10;bWxQSwECLQAUAAYACAAAACEAfBwfkt0AAAAIAQAADwAAAAAAAAAAAAAAAADwBAAAZHJzL2Rvd25y&#10;ZXYueG1sUEsFBgAAAAAEAAQA8wAAAPoFAAAAAA==&#10;" o:allowincell="f"/>
          </w:pict>
        </mc:Fallback>
      </mc:AlternateContent>
    </w:r>
  </w:p>
  <w:p w:rsidR="0098614F" w:rsidRDefault="0098614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14F" w:rsidRPr="00CB50ED" w:rsidRDefault="00E226FD">
    <w:pPr>
      <w:pStyle w:val="Cabealho"/>
      <w:jc w:val="left"/>
      <w:rPr>
        <w:rFonts w:ascii="Times New Roman" w:hAnsi="Times New Roman"/>
        <w:b w:val="0"/>
        <w:bCs/>
        <w:caps w:val="0"/>
        <w:sz w:val="20"/>
        <w:lang w:val="pt-PT"/>
      </w:rPr>
    </w:pPr>
    <w:r>
      <w:rPr>
        <w:rFonts w:ascii="Times New Roman" w:hAnsi="Times New Roman"/>
        <w:b w:val="0"/>
        <w:bCs/>
        <w:caps w:val="0"/>
        <w:noProof/>
        <w:sz w:val="20"/>
        <w:lang w:val="pt-PT"/>
      </w:rPr>
      <mc:AlternateContent>
        <mc:Choice Requires="wps">
          <w:drawing>
            <wp:anchor distT="4294967293" distB="4294967293" distL="114300" distR="114300" simplePos="0" relativeHeight="251669504" behindDoc="0" locked="0" layoutInCell="0" allowOverlap="1">
              <wp:simplePos x="0" y="0"/>
              <wp:positionH relativeFrom="column">
                <wp:posOffset>-57150</wp:posOffset>
              </wp:positionH>
              <wp:positionV relativeFrom="paragraph">
                <wp:posOffset>200659</wp:posOffset>
              </wp:positionV>
              <wp:extent cx="5715000" cy="0"/>
              <wp:effectExtent l="0" t="0" r="0" b="0"/>
              <wp:wrapNone/>
              <wp:docPr id="26" name="Conexão rec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BC5DA3" id="Conexão recta 26"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5pt,15.8pt" to="44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4umAIAAG0FAAAOAAAAZHJzL2Uyb0RvYy54bWysVMuOmzAU3VfqP1jeM0ACeaAhoxkg3Uzb&#10;kWaqrh1sglWwke0Eoqpf00/pj/XaSWgy3VTVJBLy9eP43HPu9e3d0DZoz5TmUqQ4vAkwYqKUlItt&#10;ir+8rL0FRtoQQUkjBUvxgWl8t3r/7rbvEjaRtWwoUwhAhE76LsW1MV3i+7qsWUv0jeyYgMVKqpYY&#10;CNXWp4r0gN42/iQIZn4vFe2ULJnWMJsfF/HK4VcVK83nqtLMoCbFwM24r3Lfjf36q1uSbBXpal6e&#10;aJD/YNESLuDSESonhqCd4n9BtbxUUsvK3JSy9WVV8ZK5HCCbMHiVzXNNOuZyAXF0N8qk3w62/LR/&#10;UojTFE9mGAnSgkcZODX8+imRAvkIggVQqe90Apsz8aRsnuUgnrtHWX7TSMisJmLLHNuXQwcIoT3h&#10;Xx2xge7grk3/UVLYQ3ZGOsmGSrUWEsRAg3PmMDrDBoNKmIznYRwEYGB5XvNJcj7YKW0+MNkiO0hx&#10;w4UVjSRk/6iNJUKS8xY7LeSaN40zvhGoT/EynsTugJYNp3bRbtNqu8kahfbElo77uaxg5XKbkjtB&#10;HVjNCC1OY0N4cxzD5Y2weMxV45ERRIOBoZuHFF2lfF8Gy2JRLCIvmswKLwry3LtfZ5E3W4fzOJ/m&#10;WZaHPyzRMEpqTikTluu5asPo36ri1D/HehvrdhTFv0Z36gHZa6b36ziYR9OFN5/HUy+aFoH3sFhn&#10;3n0Wzmbz4iF7KF4xLVz2+m3IjlJaVnJnmHquaY8ot/ZP4+UkxBBAl0/mR98QabbwPJVGYaSk+cpN&#10;7arV1pnFuPJ6Edj/yesR/SjE2UMbjS6ccvsjFXh+9tc1ga37YwdtJD08qXNzQE+7Q6f3xz4alzGM&#10;L1/J1W8AAAD//wMAUEsDBBQABgAIAAAAIQD9Tx5x3AAAAAgBAAAPAAAAZHJzL2Rvd25yZXYueG1s&#10;TI9BT8JAEIXvJv6HzZh4IbAtJARqt8SovXkRNV6H7tA2dGdLd4Hqr3eMBz3Oey9vvpdvRtepMw2h&#10;9WwgnSWgiCtvW64NvL2W0xWoEJEtdp7JwCcF2BTXVzlm1l/4hc7bWCsp4ZChgSbGPtM6VA05DDPf&#10;E4u394PDKOdQazvgRcpdp+dJstQOW5YPDfb00FB12J6cgVC+07H8mlST5GNRe5ofH5+f0Jjbm/H+&#10;DlSkMf6F4Qdf0KEQpp0/sQ2qMzBdy5RoYJEuQYm/Wqci7H4FXeT6/4DiGwAA//8DAFBLAQItABQA&#10;BgAIAAAAIQC2gziS/gAAAOEBAAATAAAAAAAAAAAAAAAAAAAAAABbQ29udGVudF9UeXBlc10ueG1s&#10;UEsBAi0AFAAGAAgAAAAhADj9If/WAAAAlAEAAAsAAAAAAAAAAAAAAAAALwEAAF9yZWxzLy5yZWxz&#10;UEsBAi0AFAAGAAgAAAAhAPtV3i6YAgAAbQUAAA4AAAAAAAAAAAAAAAAALgIAAGRycy9lMm9Eb2Mu&#10;eG1sUEsBAi0AFAAGAAgAAAAhAP1PHnHcAAAACAEAAA8AAAAAAAAAAAAAAAAA8gQAAGRycy9kb3du&#10;cmV2LnhtbFBLBQYAAAAABAAEAPMAAAD7BQAAAAA=&#10;" o:allowincell="f"/>
          </w:pict>
        </mc:Fallback>
      </mc:AlternateContent>
    </w:r>
    <w:r>
      <w:rPr>
        <w:rFonts w:ascii="Times New Roman" w:hAnsi="Times New Roman"/>
        <w:b w:val="0"/>
        <w:bCs/>
        <w:caps w:val="0"/>
        <w:noProof/>
        <w:sz w:val="20"/>
        <w:lang w:val="pt-PT"/>
      </w:rPr>
      <mc:AlternateContent>
        <mc:Choice Requires="wps">
          <w:drawing>
            <wp:anchor distT="4294967293" distB="4294967293" distL="114300" distR="114300" simplePos="0" relativeHeight="251668480" behindDoc="0" locked="0" layoutInCell="0" allowOverlap="1">
              <wp:simplePos x="0" y="0"/>
              <wp:positionH relativeFrom="column">
                <wp:posOffset>-114300</wp:posOffset>
              </wp:positionH>
              <wp:positionV relativeFrom="paragraph">
                <wp:posOffset>172084</wp:posOffset>
              </wp:positionV>
              <wp:extent cx="5600700" cy="0"/>
              <wp:effectExtent l="0" t="0" r="0" b="0"/>
              <wp:wrapNone/>
              <wp:docPr id="24" name="Conexão rect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027EE" id="Conexão recta 24"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3.55pt" to="6in,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NiQIAAJ8FAAAOAAAAZHJzL2Uyb0RvYy54bWysVEtu2zAQ3RfoHQjtFVGy/ohcxPp0k7YB&#10;kh6AlihLqEQKJGPZKHqaHqUX65D+1E67KJpqIQznxzfzZnj7bjcOaEuF7DnLLPcGW4iymjc922TW&#10;56fKji0kFWENGTijmbWn0nq3fPvmdp5S6vGODw0VCJIwmc5TZnVKTanjyLqjI5E3fKIMjC0XI1Fw&#10;FBunEWSG7OPgeBiHzsxFMwleUylBWxyM1tLkb1taq09tK6lCQ2YBNmX+wvzX+u8sb0m6EWTq+voI&#10;g/wDipH0DC49pyqIIuhZ9L+lGvtacMlbdVPz0eFt29fU1ADVuPhFNY8dmaipBZojp3Ob5P9LW3/c&#10;PgjUN5nl+RZiZASOcmBq9+M7RwLaRxAYoEvzJFNwztmD0HXWO/Y43fP6i0SM5x1hG2rQPu0nyODq&#10;COcqRB/kBHet5w+8AR/yrLhp2a4Vo04JzUA7w8z+zAzdKVSDMggxjjAQWJ9sDklPgZOQ6j3lI9JC&#10;Zg09000jKdneS6WBkPTkotWMV/0wGOIHdqUAx4OGmsk5RJMUQICoPTUcw+rXBCdlXMa+7Xthafu4&#10;KOy7KvftsHKjoFgUeV643zQK10+7vmko05eeJsz1/47B46wfZuM8Y+cCnOvsplKA+AKp6/l45SV2&#10;FcaR7Vd+YCcRjm3sJqskxH7iF9U10nto4OuRojmzksALDBWSD32jO6CxSbFZ54NAW6KX0nxmXsBy&#10;6Sb4M2sMTR0lTXmUFemHg3xRvUb85+rvqgBH/iK2oyhY2P6ixPYqrnL7LnfDMCpX+ap8wVNpuJev&#10;b4Ch4WKQLvAe7/gFGSbvNGVmbfSmHHZuzZv9gzitE7wCJuj4Yuln5vIM8uW7uvwJAAD//wMAUEsD&#10;BBQABgAIAAAAIQBHp9pL3gAAAAkBAAAPAAAAZHJzL2Rvd25yZXYueG1sTI/BTsMwEETvSPyDtUjc&#10;WicFtSHEqRAIOHBqi1Rxc+MlCY3Xke0m6d+ziAMcd3Y086ZYT7YTA/rQOlKQzhMQSJUzLdUK3nfP&#10;swxEiJqM7hyhgjMGWJeXF4XOjRtpg8M21oJDKORaQRNjn0sZqgatDnPXI/Hv03mrI5++lsbrkcNt&#10;JxdJspRWt8QNje7xscHquD1ZBeHpuHdfH+NrNtz5Hb6d99Xq5Uap66vp4R5ExCn+meEHn9GhZKaD&#10;O5EJolMwSzPeEhUsVikINmTLWxYOv4IsC/l/QfkNAAD//wMAUEsBAi0AFAAGAAgAAAAhALaDOJL+&#10;AAAA4QEAABMAAAAAAAAAAAAAAAAAAAAAAFtDb250ZW50X1R5cGVzXS54bWxQSwECLQAUAAYACAAA&#10;ACEAOP0h/9YAAACUAQAACwAAAAAAAAAAAAAAAAAvAQAAX3JlbHMvLnJlbHNQSwECLQAUAAYACAAA&#10;ACEAjTvzzYkCAACfBQAADgAAAAAAAAAAAAAAAAAuAgAAZHJzL2Uyb0RvYy54bWxQSwECLQAUAAYA&#10;CAAAACEAR6faS94AAAAJAQAADwAAAAAAAAAAAAAAAADjBAAAZHJzL2Rvd25yZXYueG1sUEsFBgAA&#10;AAAEAAQA8wAAAO4FAAAAAA==&#10;" o:allowincell="f" stroked="f"/>
          </w:pict>
        </mc:Fallback>
      </mc:AlternateContent>
    </w:r>
    <w:proofErr w:type="spellStart"/>
    <w:r w:rsidR="0098614F">
      <w:rPr>
        <w:rFonts w:ascii="Times New Roman" w:hAnsi="Times New Roman"/>
        <w:b w:val="0"/>
        <w:bCs/>
        <w:sz w:val="20"/>
        <w:lang w:val="pt-PT"/>
      </w:rPr>
      <w:t>a</w:t>
    </w:r>
    <w:r w:rsidR="0098614F" w:rsidRPr="00CB50ED">
      <w:rPr>
        <w:rFonts w:ascii="Times New Roman" w:hAnsi="Times New Roman"/>
        <w:b w:val="0"/>
        <w:bCs/>
        <w:caps w:val="0"/>
        <w:sz w:val="20"/>
        <w:lang w:val="pt-PT"/>
      </w:rPr>
      <w:t>nnexes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3pt;height:12pt;visibility:visible;mso-wrap-style:square" o:bullet="t">
        <v:imagedata r:id="rId1" o:title=""/>
      </v:shape>
    </w:pict>
  </w:numPicBullet>
  <w:abstractNum w:abstractNumId="0" w15:restartNumberingAfterBreak="0">
    <w:nsid w:val="FFFFFF89"/>
    <w:multiLevelType w:val="singleLevel"/>
    <w:tmpl w:val="91DE6F06"/>
    <w:lvl w:ilvl="0">
      <w:start w:val="1"/>
      <w:numFmt w:val="bullet"/>
      <w:pStyle w:val="Listacommarcas"/>
      <w:lvlText w:val=""/>
      <w:lvlJc w:val="left"/>
      <w:pPr>
        <w:tabs>
          <w:tab w:val="num" w:pos="2835"/>
        </w:tabs>
        <w:ind w:left="2835" w:hanging="360"/>
      </w:pPr>
      <w:rPr>
        <w:rFonts w:ascii="Symbol" w:hAnsi="Symbol" w:hint="default"/>
      </w:rPr>
    </w:lvl>
  </w:abstractNum>
  <w:abstractNum w:abstractNumId="1" w15:restartNumberingAfterBreak="0">
    <w:nsid w:val="02DF5EA9"/>
    <w:multiLevelType w:val="hybridMultilevel"/>
    <w:tmpl w:val="72A82210"/>
    <w:lvl w:ilvl="0" w:tplc="08160001">
      <w:start w:val="1"/>
      <w:numFmt w:val="bullet"/>
      <w:lvlText w:val=""/>
      <w:lvlJc w:val="left"/>
      <w:pPr>
        <w:ind w:left="960" w:hanging="360"/>
      </w:pPr>
      <w:rPr>
        <w:rFonts w:ascii="Symbol" w:hAnsi="Symbol" w:hint="default"/>
      </w:rPr>
    </w:lvl>
    <w:lvl w:ilvl="1" w:tplc="08160003" w:tentative="1">
      <w:start w:val="1"/>
      <w:numFmt w:val="bullet"/>
      <w:lvlText w:val="o"/>
      <w:lvlJc w:val="left"/>
      <w:pPr>
        <w:ind w:left="1680" w:hanging="360"/>
      </w:pPr>
      <w:rPr>
        <w:rFonts w:ascii="Courier New" w:hAnsi="Courier New" w:cs="Courier New" w:hint="default"/>
      </w:rPr>
    </w:lvl>
    <w:lvl w:ilvl="2" w:tplc="08160005" w:tentative="1">
      <w:start w:val="1"/>
      <w:numFmt w:val="bullet"/>
      <w:lvlText w:val=""/>
      <w:lvlJc w:val="left"/>
      <w:pPr>
        <w:ind w:left="2400" w:hanging="360"/>
      </w:pPr>
      <w:rPr>
        <w:rFonts w:ascii="Wingdings" w:hAnsi="Wingdings" w:hint="default"/>
      </w:rPr>
    </w:lvl>
    <w:lvl w:ilvl="3" w:tplc="08160001" w:tentative="1">
      <w:start w:val="1"/>
      <w:numFmt w:val="bullet"/>
      <w:lvlText w:val=""/>
      <w:lvlJc w:val="left"/>
      <w:pPr>
        <w:ind w:left="3120" w:hanging="360"/>
      </w:pPr>
      <w:rPr>
        <w:rFonts w:ascii="Symbol" w:hAnsi="Symbol" w:hint="default"/>
      </w:rPr>
    </w:lvl>
    <w:lvl w:ilvl="4" w:tplc="08160003" w:tentative="1">
      <w:start w:val="1"/>
      <w:numFmt w:val="bullet"/>
      <w:lvlText w:val="o"/>
      <w:lvlJc w:val="left"/>
      <w:pPr>
        <w:ind w:left="3840" w:hanging="360"/>
      </w:pPr>
      <w:rPr>
        <w:rFonts w:ascii="Courier New" w:hAnsi="Courier New" w:cs="Courier New" w:hint="default"/>
      </w:rPr>
    </w:lvl>
    <w:lvl w:ilvl="5" w:tplc="08160005" w:tentative="1">
      <w:start w:val="1"/>
      <w:numFmt w:val="bullet"/>
      <w:lvlText w:val=""/>
      <w:lvlJc w:val="left"/>
      <w:pPr>
        <w:ind w:left="4560" w:hanging="360"/>
      </w:pPr>
      <w:rPr>
        <w:rFonts w:ascii="Wingdings" w:hAnsi="Wingdings" w:hint="default"/>
      </w:rPr>
    </w:lvl>
    <w:lvl w:ilvl="6" w:tplc="08160001" w:tentative="1">
      <w:start w:val="1"/>
      <w:numFmt w:val="bullet"/>
      <w:lvlText w:val=""/>
      <w:lvlJc w:val="left"/>
      <w:pPr>
        <w:ind w:left="5280" w:hanging="360"/>
      </w:pPr>
      <w:rPr>
        <w:rFonts w:ascii="Symbol" w:hAnsi="Symbol" w:hint="default"/>
      </w:rPr>
    </w:lvl>
    <w:lvl w:ilvl="7" w:tplc="08160003" w:tentative="1">
      <w:start w:val="1"/>
      <w:numFmt w:val="bullet"/>
      <w:lvlText w:val="o"/>
      <w:lvlJc w:val="left"/>
      <w:pPr>
        <w:ind w:left="6000" w:hanging="360"/>
      </w:pPr>
      <w:rPr>
        <w:rFonts w:ascii="Courier New" w:hAnsi="Courier New" w:cs="Courier New" w:hint="default"/>
      </w:rPr>
    </w:lvl>
    <w:lvl w:ilvl="8" w:tplc="08160005" w:tentative="1">
      <w:start w:val="1"/>
      <w:numFmt w:val="bullet"/>
      <w:lvlText w:val=""/>
      <w:lvlJc w:val="left"/>
      <w:pPr>
        <w:ind w:left="6720" w:hanging="360"/>
      </w:pPr>
      <w:rPr>
        <w:rFonts w:ascii="Wingdings" w:hAnsi="Wingdings" w:hint="default"/>
      </w:rPr>
    </w:lvl>
  </w:abstractNum>
  <w:abstractNum w:abstractNumId="2" w15:restartNumberingAfterBreak="0">
    <w:nsid w:val="03405821"/>
    <w:multiLevelType w:val="hybridMultilevel"/>
    <w:tmpl w:val="23BC3940"/>
    <w:lvl w:ilvl="0" w:tplc="EC2E5F5E">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15:restartNumberingAfterBreak="0">
    <w:nsid w:val="05CF178F"/>
    <w:multiLevelType w:val="hybridMultilevel"/>
    <w:tmpl w:val="EB781E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D97081F"/>
    <w:multiLevelType w:val="multilevel"/>
    <w:tmpl w:val="F934ECF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13E7682"/>
    <w:multiLevelType w:val="hybridMultilevel"/>
    <w:tmpl w:val="54FE2416"/>
    <w:lvl w:ilvl="0" w:tplc="08160001">
      <w:start w:val="1"/>
      <w:numFmt w:val="bullet"/>
      <w:lvlText w:val=""/>
      <w:lvlJc w:val="left"/>
      <w:pPr>
        <w:ind w:left="960" w:hanging="360"/>
      </w:pPr>
      <w:rPr>
        <w:rFonts w:ascii="Symbol" w:hAnsi="Symbol" w:hint="default"/>
      </w:rPr>
    </w:lvl>
    <w:lvl w:ilvl="1" w:tplc="08160003" w:tentative="1">
      <w:start w:val="1"/>
      <w:numFmt w:val="bullet"/>
      <w:lvlText w:val="o"/>
      <w:lvlJc w:val="left"/>
      <w:pPr>
        <w:ind w:left="1680" w:hanging="360"/>
      </w:pPr>
      <w:rPr>
        <w:rFonts w:ascii="Courier New" w:hAnsi="Courier New" w:cs="Courier New" w:hint="default"/>
      </w:rPr>
    </w:lvl>
    <w:lvl w:ilvl="2" w:tplc="08160005" w:tentative="1">
      <w:start w:val="1"/>
      <w:numFmt w:val="bullet"/>
      <w:lvlText w:val=""/>
      <w:lvlJc w:val="left"/>
      <w:pPr>
        <w:ind w:left="2400" w:hanging="360"/>
      </w:pPr>
      <w:rPr>
        <w:rFonts w:ascii="Wingdings" w:hAnsi="Wingdings" w:hint="default"/>
      </w:rPr>
    </w:lvl>
    <w:lvl w:ilvl="3" w:tplc="08160001" w:tentative="1">
      <w:start w:val="1"/>
      <w:numFmt w:val="bullet"/>
      <w:lvlText w:val=""/>
      <w:lvlJc w:val="left"/>
      <w:pPr>
        <w:ind w:left="3120" w:hanging="360"/>
      </w:pPr>
      <w:rPr>
        <w:rFonts w:ascii="Symbol" w:hAnsi="Symbol" w:hint="default"/>
      </w:rPr>
    </w:lvl>
    <w:lvl w:ilvl="4" w:tplc="08160003" w:tentative="1">
      <w:start w:val="1"/>
      <w:numFmt w:val="bullet"/>
      <w:lvlText w:val="o"/>
      <w:lvlJc w:val="left"/>
      <w:pPr>
        <w:ind w:left="3840" w:hanging="360"/>
      </w:pPr>
      <w:rPr>
        <w:rFonts w:ascii="Courier New" w:hAnsi="Courier New" w:cs="Courier New" w:hint="default"/>
      </w:rPr>
    </w:lvl>
    <w:lvl w:ilvl="5" w:tplc="08160005" w:tentative="1">
      <w:start w:val="1"/>
      <w:numFmt w:val="bullet"/>
      <w:lvlText w:val=""/>
      <w:lvlJc w:val="left"/>
      <w:pPr>
        <w:ind w:left="4560" w:hanging="360"/>
      </w:pPr>
      <w:rPr>
        <w:rFonts w:ascii="Wingdings" w:hAnsi="Wingdings" w:hint="default"/>
      </w:rPr>
    </w:lvl>
    <w:lvl w:ilvl="6" w:tplc="08160001" w:tentative="1">
      <w:start w:val="1"/>
      <w:numFmt w:val="bullet"/>
      <w:lvlText w:val=""/>
      <w:lvlJc w:val="left"/>
      <w:pPr>
        <w:ind w:left="5280" w:hanging="360"/>
      </w:pPr>
      <w:rPr>
        <w:rFonts w:ascii="Symbol" w:hAnsi="Symbol" w:hint="default"/>
      </w:rPr>
    </w:lvl>
    <w:lvl w:ilvl="7" w:tplc="08160003" w:tentative="1">
      <w:start w:val="1"/>
      <w:numFmt w:val="bullet"/>
      <w:lvlText w:val="o"/>
      <w:lvlJc w:val="left"/>
      <w:pPr>
        <w:ind w:left="6000" w:hanging="360"/>
      </w:pPr>
      <w:rPr>
        <w:rFonts w:ascii="Courier New" w:hAnsi="Courier New" w:cs="Courier New" w:hint="default"/>
      </w:rPr>
    </w:lvl>
    <w:lvl w:ilvl="8" w:tplc="08160005" w:tentative="1">
      <w:start w:val="1"/>
      <w:numFmt w:val="bullet"/>
      <w:lvlText w:val=""/>
      <w:lvlJc w:val="left"/>
      <w:pPr>
        <w:ind w:left="6720" w:hanging="360"/>
      </w:pPr>
      <w:rPr>
        <w:rFonts w:ascii="Wingdings" w:hAnsi="Wingdings" w:hint="default"/>
      </w:rPr>
    </w:lvl>
  </w:abstractNum>
  <w:abstractNum w:abstractNumId="6" w15:restartNumberingAfterBreak="0">
    <w:nsid w:val="21A60AEF"/>
    <w:multiLevelType w:val="multilevel"/>
    <w:tmpl w:val="48B0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C11E6"/>
    <w:multiLevelType w:val="multilevel"/>
    <w:tmpl w:val="D4880074"/>
    <w:lvl w:ilvl="0">
      <w:start w:val="4"/>
      <w:numFmt w:val="decimal"/>
      <w:lvlText w:val="%1"/>
      <w:lvlJc w:val="left"/>
      <w:pPr>
        <w:ind w:left="885" w:hanging="885"/>
      </w:pPr>
      <w:rPr>
        <w:rFonts w:hint="default"/>
      </w:rPr>
    </w:lvl>
    <w:lvl w:ilvl="1">
      <w:start w:val="2"/>
      <w:numFmt w:val="decimal"/>
      <w:lvlText w:val="%1.%2"/>
      <w:lvlJc w:val="left"/>
      <w:pPr>
        <w:ind w:left="1365" w:hanging="885"/>
      </w:pPr>
      <w:rPr>
        <w:rFonts w:hint="default"/>
      </w:rPr>
    </w:lvl>
    <w:lvl w:ilvl="2">
      <w:start w:val="2"/>
      <w:numFmt w:val="decimal"/>
      <w:lvlText w:val="%1.%2.%3"/>
      <w:lvlJc w:val="left"/>
      <w:pPr>
        <w:ind w:left="1845" w:hanging="885"/>
      </w:pPr>
      <w:rPr>
        <w:rFonts w:hint="default"/>
      </w:rPr>
    </w:lvl>
    <w:lvl w:ilvl="3">
      <w:start w:val="2"/>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8" w15:restartNumberingAfterBreak="0">
    <w:nsid w:val="262B7743"/>
    <w:multiLevelType w:val="hybridMultilevel"/>
    <w:tmpl w:val="25EC2B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9D03834"/>
    <w:multiLevelType w:val="hybridMultilevel"/>
    <w:tmpl w:val="F5F43130"/>
    <w:lvl w:ilvl="0" w:tplc="08160015">
      <w:start w:val="3"/>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E6B67EB"/>
    <w:multiLevelType w:val="hybridMultilevel"/>
    <w:tmpl w:val="E4FAFC5A"/>
    <w:lvl w:ilvl="0" w:tplc="08160001">
      <w:start w:val="1"/>
      <w:numFmt w:val="bullet"/>
      <w:lvlText w:val=""/>
      <w:lvlJc w:val="left"/>
      <w:pPr>
        <w:ind w:left="960" w:hanging="360"/>
      </w:pPr>
      <w:rPr>
        <w:rFonts w:ascii="Symbol" w:hAnsi="Symbol" w:hint="default"/>
      </w:rPr>
    </w:lvl>
    <w:lvl w:ilvl="1" w:tplc="08160003" w:tentative="1">
      <w:start w:val="1"/>
      <w:numFmt w:val="bullet"/>
      <w:lvlText w:val="o"/>
      <w:lvlJc w:val="left"/>
      <w:pPr>
        <w:ind w:left="1680" w:hanging="360"/>
      </w:pPr>
      <w:rPr>
        <w:rFonts w:ascii="Courier New" w:hAnsi="Courier New" w:cs="Courier New" w:hint="default"/>
      </w:rPr>
    </w:lvl>
    <w:lvl w:ilvl="2" w:tplc="08160005" w:tentative="1">
      <w:start w:val="1"/>
      <w:numFmt w:val="bullet"/>
      <w:lvlText w:val=""/>
      <w:lvlJc w:val="left"/>
      <w:pPr>
        <w:ind w:left="2400" w:hanging="360"/>
      </w:pPr>
      <w:rPr>
        <w:rFonts w:ascii="Wingdings" w:hAnsi="Wingdings" w:hint="default"/>
      </w:rPr>
    </w:lvl>
    <w:lvl w:ilvl="3" w:tplc="08160001" w:tentative="1">
      <w:start w:val="1"/>
      <w:numFmt w:val="bullet"/>
      <w:lvlText w:val=""/>
      <w:lvlJc w:val="left"/>
      <w:pPr>
        <w:ind w:left="3120" w:hanging="360"/>
      </w:pPr>
      <w:rPr>
        <w:rFonts w:ascii="Symbol" w:hAnsi="Symbol" w:hint="default"/>
      </w:rPr>
    </w:lvl>
    <w:lvl w:ilvl="4" w:tplc="08160003" w:tentative="1">
      <w:start w:val="1"/>
      <w:numFmt w:val="bullet"/>
      <w:lvlText w:val="o"/>
      <w:lvlJc w:val="left"/>
      <w:pPr>
        <w:ind w:left="3840" w:hanging="360"/>
      </w:pPr>
      <w:rPr>
        <w:rFonts w:ascii="Courier New" w:hAnsi="Courier New" w:cs="Courier New" w:hint="default"/>
      </w:rPr>
    </w:lvl>
    <w:lvl w:ilvl="5" w:tplc="08160005" w:tentative="1">
      <w:start w:val="1"/>
      <w:numFmt w:val="bullet"/>
      <w:lvlText w:val=""/>
      <w:lvlJc w:val="left"/>
      <w:pPr>
        <w:ind w:left="4560" w:hanging="360"/>
      </w:pPr>
      <w:rPr>
        <w:rFonts w:ascii="Wingdings" w:hAnsi="Wingdings" w:hint="default"/>
      </w:rPr>
    </w:lvl>
    <w:lvl w:ilvl="6" w:tplc="08160001" w:tentative="1">
      <w:start w:val="1"/>
      <w:numFmt w:val="bullet"/>
      <w:lvlText w:val=""/>
      <w:lvlJc w:val="left"/>
      <w:pPr>
        <w:ind w:left="5280" w:hanging="360"/>
      </w:pPr>
      <w:rPr>
        <w:rFonts w:ascii="Symbol" w:hAnsi="Symbol" w:hint="default"/>
      </w:rPr>
    </w:lvl>
    <w:lvl w:ilvl="7" w:tplc="08160003" w:tentative="1">
      <w:start w:val="1"/>
      <w:numFmt w:val="bullet"/>
      <w:lvlText w:val="o"/>
      <w:lvlJc w:val="left"/>
      <w:pPr>
        <w:ind w:left="6000" w:hanging="360"/>
      </w:pPr>
      <w:rPr>
        <w:rFonts w:ascii="Courier New" w:hAnsi="Courier New" w:cs="Courier New" w:hint="default"/>
      </w:rPr>
    </w:lvl>
    <w:lvl w:ilvl="8" w:tplc="08160005" w:tentative="1">
      <w:start w:val="1"/>
      <w:numFmt w:val="bullet"/>
      <w:lvlText w:val=""/>
      <w:lvlJc w:val="left"/>
      <w:pPr>
        <w:ind w:left="6720" w:hanging="360"/>
      </w:pPr>
      <w:rPr>
        <w:rFonts w:ascii="Wingdings" w:hAnsi="Wingdings" w:hint="default"/>
      </w:rPr>
    </w:lvl>
  </w:abstractNum>
  <w:abstractNum w:abstractNumId="11" w15:restartNumberingAfterBreak="0">
    <w:nsid w:val="32F102B1"/>
    <w:multiLevelType w:val="hybridMultilevel"/>
    <w:tmpl w:val="BDB2EDE0"/>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2" w15:restartNumberingAfterBreak="0">
    <w:nsid w:val="3B8F2F35"/>
    <w:multiLevelType w:val="hybridMultilevel"/>
    <w:tmpl w:val="9BFA4A38"/>
    <w:lvl w:ilvl="0" w:tplc="08160001">
      <w:start w:val="1"/>
      <w:numFmt w:val="bullet"/>
      <w:lvlText w:val=""/>
      <w:lvlJc w:val="left"/>
      <w:pPr>
        <w:ind w:left="960" w:hanging="360"/>
      </w:pPr>
      <w:rPr>
        <w:rFonts w:ascii="Symbol" w:hAnsi="Symbol" w:hint="default"/>
      </w:rPr>
    </w:lvl>
    <w:lvl w:ilvl="1" w:tplc="08160003" w:tentative="1">
      <w:start w:val="1"/>
      <w:numFmt w:val="bullet"/>
      <w:lvlText w:val="o"/>
      <w:lvlJc w:val="left"/>
      <w:pPr>
        <w:ind w:left="1680" w:hanging="360"/>
      </w:pPr>
      <w:rPr>
        <w:rFonts w:ascii="Courier New" w:hAnsi="Courier New" w:cs="Courier New" w:hint="default"/>
      </w:rPr>
    </w:lvl>
    <w:lvl w:ilvl="2" w:tplc="08160005" w:tentative="1">
      <w:start w:val="1"/>
      <w:numFmt w:val="bullet"/>
      <w:lvlText w:val=""/>
      <w:lvlJc w:val="left"/>
      <w:pPr>
        <w:ind w:left="2400" w:hanging="360"/>
      </w:pPr>
      <w:rPr>
        <w:rFonts w:ascii="Wingdings" w:hAnsi="Wingdings" w:hint="default"/>
      </w:rPr>
    </w:lvl>
    <w:lvl w:ilvl="3" w:tplc="08160001" w:tentative="1">
      <w:start w:val="1"/>
      <w:numFmt w:val="bullet"/>
      <w:lvlText w:val=""/>
      <w:lvlJc w:val="left"/>
      <w:pPr>
        <w:ind w:left="3120" w:hanging="360"/>
      </w:pPr>
      <w:rPr>
        <w:rFonts w:ascii="Symbol" w:hAnsi="Symbol" w:hint="default"/>
      </w:rPr>
    </w:lvl>
    <w:lvl w:ilvl="4" w:tplc="08160003" w:tentative="1">
      <w:start w:val="1"/>
      <w:numFmt w:val="bullet"/>
      <w:lvlText w:val="o"/>
      <w:lvlJc w:val="left"/>
      <w:pPr>
        <w:ind w:left="3840" w:hanging="360"/>
      </w:pPr>
      <w:rPr>
        <w:rFonts w:ascii="Courier New" w:hAnsi="Courier New" w:cs="Courier New" w:hint="default"/>
      </w:rPr>
    </w:lvl>
    <w:lvl w:ilvl="5" w:tplc="08160005" w:tentative="1">
      <w:start w:val="1"/>
      <w:numFmt w:val="bullet"/>
      <w:lvlText w:val=""/>
      <w:lvlJc w:val="left"/>
      <w:pPr>
        <w:ind w:left="4560" w:hanging="360"/>
      </w:pPr>
      <w:rPr>
        <w:rFonts w:ascii="Wingdings" w:hAnsi="Wingdings" w:hint="default"/>
      </w:rPr>
    </w:lvl>
    <w:lvl w:ilvl="6" w:tplc="08160001" w:tentative="1">
      <w:start w:val="1"/>
      <w:numFmt w:val="bullet"/>
      <w:lvlText w:val=""/>
      <w:lvlJc w:val="left"/>
      <w:pPr>
        <w:ind w:left="5280" w:hanging="360"/>
      </w:pPr>
      <w:rPr>
        <w:rFonts w:ascii="Symbol" w:hAnsi="Symbol" w:hint="default"/>
      </w:rPr>
    </w:lvl>
    <w:lvl w:ilvl="7" w:tplc="08160003" w:tentative="1">
      <w:start w:val="1"/>
      <w:numFmt w:val="bullet"/>
      <w:lvlText w:val="o"/>
      <w:lvlJc w:val="left"/>
      <w:pPr>
        <w:ind w:left="6000" w:hanging="360"/>
      </w:pPr>
      <w:rPr>
        <w:rFonts w:ascii="Courier New" w:hAnsi="Courier New" w:cs="Courier New" w:hint="default"/>
      </w:rPr>
    </w:lvl>
    <w:lvl w:ilvl="8" w:tplc="08160005" w:tentative="1">
      <w:start w:val="1"/>
      <w:numFmt w:val="bullet"/>
      <w:lvlText w:val=""/>
      <w:lvlJc w:val="left"/>
      <w:pPr>
        <w:ind w:left="6720" w:hanging="360"/>
      </w:pPr>
      <w:rPr>
        <w:rFonts w:ascii="Wingdings" w:hAnsi="Wingdings" w:hint="default"/>
      </w:rPr>
    </w:lvl>
  </w:abstractNum>
  <w:abstractNum w:abstractNumId="13" w15:restartNumberingAfterBreak="0">
    <w:nsid w:val="3EC539D2"/>
    <w:multiLevelType w:val="hybridMultilevel"/>
    <w:tmpl w:val="EDF6AAC4"/>
    <w:lvl w:ilvl="0" w:tplc="08160001">
      <w:start w:val="1"/>
      <w:numFmt w:val="bullet"/>
      <w:lvlText w:val=""/>
      <w:lvlJc w:val="left"/>
      <w:pPr>
        <w:ind w:left="960" w:hanging="360"/>
      </w:pPr>
      <w:rPr>
        <w:rFonts w:ascii="Symbol" w:hAnsi="Symbol" w:hint="default"/>
      </w:rPr>
    </w:lvl>
    <w:lvl w:ilvl="1" w:tplc="08160003" w:tentative="1">
      <w:start w:val="1"/>
      <w:numFmt w:val="bullet"/>
      <w:lvlText w:val="o"/>
      <w:lvlJc w:val="left"/>
      <w:pPr>
        <w:ind w:left="1680" w:hanging="360"/>
      </w:pPr>
      <w:rPr>
        <w:rFonts w:ascii="Courier New" w:hAnsi="Courier New" w:cs="Courier New" w:hint="default"/>
      </w:rPr>
    </w:lvl>
    <w:lvl w:ilvl="2" w:tplc="08160005" w:tentative="1">
      <w:start w:val="1"/>
      <w:numFmt w:val="bullet"/>
      <w:lvlText w:val=""/>
      <w:lvlJc w:val="left"/>
      <w:pPr>
        <w:ind w:left="2400" w:hanging="360"/>
      </w:pPr>
      <w:rPr>
        <w:rFonts w:ascii="Wingdings" w:hAnsi="Wingdings" w:hint="default"/>
      </w:rPr>
    </w:lvl>
    <w:lvl w:ilvl="3" w:tplc="08160001" w:tentative="1">
      <w:start w:val="1"/>
      <w:numFmt w:val="bullet"/>
      <w:lvlText w:val=""/>
      <w:lvlJc w:val="left"/>
      <w:pPr>
        <w:ind w:left="3120" w:hanging="360"/>
      </w:pPr>
      <w:rPr>
        <w:rFonts w:ascii="Symbol" w:hAnsi="Symbol" w:hint="default"/>
      </w:rPr>
    </w:lvl>
    <w:lvl w:ilvl="4" w:tplc="08160003" w:tentative="1">
      <w:start w:val="1"/>
      <w:numFmt w:val="bullet"/>
      <w:lvlText w:val="o"/>
      <w:lvlJc w:val="left"/>
      <w:pPr>
        <w:ind w:left="3840" w:hanging="360"/>
      </w:pPr>
      <w:rPr>
        <w:rFonts w:ascii="Courier New" w:hAnsi="Courier New" w:cs="Courier New" w:hint="default"/>
      </w:rPr>
    </w:lvl>
    <w:lvl w:ilvl="5" w:tplc="08160005" w:tentative="1">
      <w:start w:val="1"/>
      <w:numFmt w:val="bullet"/>
      <w:lvlText w:val=""/>
      <w:lvlJc w:val="left"/>
      <w:pPr>
        <w:ind w:left="4560" w:hanging="360"/>
      </w:pPr>
      <w:rPr>
        <w:rFonts w:ascii="Wingdings" w:hAnsi="Wingdings" w:hint="default"/>
      </w:rPr>
    </w:lvl>
    <w:lvl w:ilvl="6" w:tplc="08160001" w:tentative="1">
      <w:start w:val="1"/>
      <w:numFmt w:val="bullet"/>
      <w:lvlText w:val=""/>
      <w:lvlJc w:val="left"/>
      <w:pPr>
        <w:ind w:left="5280" w:hanging="360"/>
      </w:pPr>
      <w:rPr>
        <w:rFonts w:ascii="Symbol" w:hAnsi="Symbol" w:hint="default"/>
      </w:rPr>
    </w:lvl>
    <w:lvl w:ilvl="7" w:tplc="08160003" w:tentative="1">
      <w:start w:val="1"/>
      <w:numFmt w:val="bullet"/>
      <w:lvlText w:val="o"/>
      <w:lvlJc w:val="left"/>
      <w:pPr>
        <w:ind w:left="6000" w:hanging="360"/>
      </w:pPr>
      <w:rPr>
        <w:rFonts w:ascii="Courier New" w:hAnsi="Courier New" w:cs="Courier New" w:hint="default"/>
      </w:rPr>
    </w:lvl>
    <w:lvl w:ilvl="8" w:tplc="08160005" w:tentative="1">
      <w:start w:val="1"/>
      <w:numFmt w:val="bullet"/>
      <w:lvlText w:val=""/>
      <w:lvlJc w:val="left"/>
      <w:pPr>
        <w:ind w:left="6720" w:hanging="360"/>
      </w:pPr>
      <w:rPr>
        <w:rFonts w:ascii="Wingdings" w:hAnsi="Wingdings" w:hint="default"/>
      </w:rPr>
    </w:lvl>
  </w:abstractNum>
  <w:abstractNum w:abstractNumId="14" w15:restartNumberingAfterBreak="0">
    <w:nsid w:val="4064764C"/>
    <w:multiLevelType w:val="multilevel"/>
    <w:tmpl w:val="F934ECFA"/>
    <w:lvl w:ilvl="0">
      <w:start w:val="1"/>
      <w:numFmt w:val="decimal"/>
      <w:lvlText w:val="%1."/>
      <w:lvlJc w:val="left"/>
      <w:pPr>
        <w:ind w:left="360" w:hanging="360"/>
      </w:pPr>
    </w:lvl>
    <w:lvl w:ilvl="1">
      <w:start w:val="1"/>
      <w:numFmt w:val="decimal"/>
      <w:isLgl/>
      <w:lvlText w:val="%1.%2"/>
      <w:lvlJc w:val="left"/>
      <w:pPr>
        <w:ind w:left="539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54530F9"/>
    <w:multiLevelType w:val="multilevel"/>
    <w:tmpl w:val="F934ECF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2345CA8"/>
    <w:multiLevelType w:val="hybridMultilevel"/>
    <w:tmpl w:val="E57A01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4947AFE"/>
    <w:multiLevelType w:val="multilevel"/>
    <w:tmpl w:val="4F92271A"/>
    <w:lvl w:ilvl="0">
      <w:start w:val="4"/>
      <w:numFmt w:val="decimal"/>
      <w:lvlText w:val="%1"/>
      <w:lvlJc w:val="left"/>
      <w:pPr>
        <w:ind w:left="765" w:hanging="765"/>
      </w:pPr>
      <w:rPr>
        <w:rFonts w:hint="default"/>
      </w:rPr>
    </w:lvl>
    <w:lvl w:ilvl="1">
      <w:start w:val="1"/>
      <w:numFmt w:val="decimal"/>
      <w:lvlText w:val="%1.%2"/>
      <w:lvlJc w:val="left"/>
      <w:pPr>
        <w:ind w:left="1245" w:hanging="765"/>
      </w:pPr>
      <w:rPr>
        <w:rFonts w:hint="default"/>
      </w:rPr>
    </w:lvl>
    <w:lvl w:ilvl="2">
      <w:start w:val="1"/>
      <w:numFmt w:val="decimal"/>
      <w:lvlText w:val="%1.%2.%3"/>
      <w:lvlJc w:val="left"/>
      <w:pPr>
        <w:ind w:left="1725" w:hanging="765"/>
      </w:pPr>
      <w:rPr>
        <w:rFonts w:hint="default"/>
      </w:rPr>
    </w:lvl>
    <w:lvl w:ilvl="3">
      <w:start w:val="2"/>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8" w15:restartNumberingAfterBreak="0">
    <w:nsid w:val="5C416DC1"/>
    <w:multiLevelType w:val="hybridMultilevel"/>
    <w:tmpl w:val="A08A56FE"/>
    <w:lvl w:ilvl="0" w:tplc="08160001">
      <w:start w:val="1"/>
      <w:numFmt w:val="bullet"/>
      <w:lvlText w:val=""/>
      <w:lvlJc w:val="left"/>
      <w:pPr>
        <w:ind w:left="960" w:hanging="360"/>
      </w:pPr>
      <w:rPr>
        <w:rFonts w:ascii="Symbol" w:hAnsi="Symbol" w:hint="default"/>
      </w:rPr>
    </w:lvl>
    <w:lvl w:ilvl="1" w:tplc="08160003" w:tentative="1">
      <w:start w:val="1"/>
      <w:numFmt w:val="bullet"/>
      <w:lvlText w:val="o"/>
      <w:lvlJc w:val="left"/>
      <w:pPr>
        <w:ind w:left="1680" w:hanging="360"/>
      </w:pPr>
      <w:rPr>
        <w:rFonts w:ascii="Courier New" w:hAnsi="Courier New" w:cs="Courier New" w:hint="default"/>
      </w:rPr>
    </w:lvl>
    <w:lvl w:ilvl="2" w:tplc="08160005" w:tentative="1">
      <w:start w:val="1"/>
      <w:numFmt w:val="bullet"/>
      <w:lvlText w:val=""/>
      <w:lvlJc w:val="left"/>
      <w:pPr>
        <w:ind w:left="2400" w:hanging="360"/>
      </w:pPr>
      <w:rPr>
        <w:rFonts w:ascii="Wingdings" w:hAnsi="Wingdings" w:hint="default"/>
      </w:rPr>
    </w:lvl>
    <w:lvl w:ilvl="3" w:tplc="08160001" w:tentative="1">
      <w:start w:val="1"/>
      <w:numFmt w:val="bullet"/>
      <w:lvlText w:val=""/>
      <w:lvlJc w:val="left"/>
      <w:pPr>
        <w:ind w:left="3120" w:hanging="360"/>
      </w:pPr>
      <w:rPr>
        <w:rFonts w:ascii="Symbol" w:hAnsi="Symbol" w:hint="default"/>
      </w:rPr>
    </w:lvl>
    <w:lvl w:ilvl="4" w:tplc="08160003" w:tentative="1">
      <w:start w:val="1"/>
      <w:numFmt w:val="bullet"/>
      <w:lvlText w:val="o"/>
      <w:lvlJc w:val="left"/>
      <w:pPr>
        <w:ind w:left="3840" w:hanging="360"/>
      </w:pPr>
      <w:rPr>
        <w:rFonts w:ascii="Courier New" w:hAnsi="Courier New" w:cs="Courier New" w:hint="default"/>
      </w:rPr>
    </w:lvl>
    <w:lvl w:ilvl="5" w:tplc="08160005" w:tentative="1">
      <w:start w:val="1"/>
      <w:numFmt w:val="bullet"/>
      <w:lvlText w:val=""/>
      <w:lvlJc w:val="left"/>
      <w:pPr>
        <w:ind w:left="4560" w:hanging="360"/>
      </w:pPr>
      <w:rPr>
        <w:rFonts w:ascii="Wingdings" w:hAnsi="Wingdings" w:hint="default"/>
      </w:rPr>
    </w:lvl>
    <w:lvl w:ilvl="6" w:tplc="08160001" w:tentative="1">
      <w:start w:val="1"/>
      <w:numFmt w:val="bullet"/>
      <w:lvlText w:val=""/>
      <w:lvlJc w:val="left"/>
      <w:pPr>
        <w:ind w:left="5280" w:hanging="360"/>
      </w:pPr>
      <w:rPr>
        <w:rFonts w:ascii="Symbol" w:hAnsi="Symbol" w:hint="default"/>
      </w:rPr>
    </w:lvl>
    <w:lvl w:ilvl="7" w:tplc="08160003" w:tentative="1">
      <w:start w:val="1"/>
      <w:numFmt w:val="bullet"/>
      <w:lvlText w:val="o"/>
      <w:lvlJc w:val="left"/>
      <w:pPr>
        <w:ind w:left="6000" w:hanging="360"/>
      </w:pPr>
      <w:rPr>
        <w:rFonts w:ascii="Courier New" w:hAnsi="Courier New" w:cs="Courier New" w:hint="default"/>
      </w:rPr>
    </w:lvl>
    <w:lvl w:ilvl="8" w:tplc="08160005" w:tentative="1">
      <w:start w:val="1"/>
      <w:numFmt w:val="bullet"/>
      <w:lvlText w:val=""/>
      <w:lvlJc w:val="left"/>
      <w:pPr>
        <w:ind w:left="6720" w:hanging="360"/>
      </w:pPr>
      <w:rPr>
        <w:rFonts w:ascii="Wingdings" w:hAnsi="Wingdings" w:hint="default"/>
      </w:rPr>
    </w:lvl>
  </w:abstractNum>
  <w:abstractNum w:abstractNumId="19" w15:restartNumberingAfterBreak="0">
    <w:nsid w:val="63AE59C2"/>
    <w:multiLevelType w:val="multilevel"/>
    <w:tmpl w:val="7D2C6618"/>
    <w:lvl w:ilvl="0">
      <w:start w:val="1"/>
      <w:numFmt w:val="upperRoman"/>
      <w:pStyle w:val="Ttulo1"/>
      <w:lvlText w:val="%1"/>
      <w:lvlJc w:val="left"/>
      <w:pPr>
        <w:tabs>
          <w:tab w:val="num" w:pos="720"/>
        </w:tabs>
        <w:ind w:left="432" w:hanging="432"/>
      </w:pPr>
      <w:rPr>
        <w:rFonts w:hint="default"/>
      </w:rPr>
    </w:lvl>
    <w:lvl w:ilvl="1">
      <w:start w:val="1"/>
      <w:numFmt w:val="decimal"/>
      <w:pStyle w:val="Cabealho2"/>
      <w:lvlText w:val="%1.%2"/>
      <w:lvlJc w:val="left"/>
      <w:pPr>
        <w:tabs>
          <w:tab w:val="num" w:pos="576"/>
        </w:tabs>
        <w:ind w:left="576" w:hanging="576"/>
      </w:pPr>
      <w:rPr>
        <w:rFonts w:hint="default"/>
      </w:rPr>
    </w:lvl>
    <w:lvl w:ilvl="2">
      <w:start w:val="1"/>
      <w:numFmt w:val="decimal"/>
      <w:pStyle w:val="Cabealh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Cabealho5"/>
      <w:lvlText w:val="%1.%2.%3.%4.%5"/>
      <w:lvlJc w:val="left"/>
      <w:pPr>
        <w:tabs>
          <w:tab w:val="num" w:pos="1008"/>
        </w:tabs>
        <w:ind w:left="1008" w:hanging="1008"/>
      </w:pPr>
      <w:rPr>
        <w:rFonts w:hint="default"/>
      </w:rPr>
    </w:lvl>
    <w:lvl w:ilvl="5">
      <w:start w:val="1"/>
      <w:numFmt w:val="decimal"/>
      <w:pStyle w:val="Cabealho6"/>
      <w:lvlText w:val="%1.%2.%3.%4.%5.%6"/>
      <w:lvlJc w:val="left"/>
      <w:pPr>
        <w:tabs>
          <w:tab w:val="num" w:pos="1152"/>
        </w:tabs>
        <w:ind w:left="1152" w:hanging="1152"/>
      </w:pPr>
      <w:rPr>
        <w:rFonts w:hint="default"/>
      </w:rPr>
    </w:lvl>
    <w:lvl w:ilvl="6">
      <w:start w:val="1"/>
      <w:numFmt w:val="decimal"/>
      <w:pStyle w:val="Cabealho7"/>
      <w:lvlText w:val="%1.%2.%3.%4.%5.%6.%7"/>
      <w:lvlJc w:val="left"/>
      <w:pPr>
        <w:tabs>
          <w:tab w:val="num" w:pos="1296"/>
        </w:tabs>
        <w:ind w:left="1296" w:hanging="1296"/>
      </w:pPr>
      <w:rPr>
        <w:rFonts w:hint="default"/>
      </w:rPr>
    </w:lvl>
    <w:lvl w:ilvl="7">
      <w:start w:val="1"/>
      <w:numFmt w:val="decimal"/>
      <w:pStyle w:val="Cabealho8"/>
      <w:lvlText w:val="%1.%2.%3.%4.%5.%6.%7.%8"/>
      <w:lvlJc w:val="left"/>
      <w:pPr>
        <w:tabs>
          <w:tab w:val="num" w:pos="1440"/>
        </w:tabs>
        <w:ind w:left="1440" w:hanging="1440"/>
      </w:pPr>
      <w:rPr>
        <w:rFonts w:hint="default"/>
      </w:rPr>
    </w:lvl>
    <w:lvl w:ilvl="8">
      <w:start w:val="1"/>
      <w:numFmt w:val="decimal"/>
      <w:pStyle w:val="Cabealho9"/>
      <w:lvlText w:val="%1.%2.%3.%4.%5.%6.%7.%8.%9"/>
      <w:lvlJc w:val="left"/>
      <w:pPr>
        <w:tabs>
          <w:tab w:val="num" w:pos="1584"/>
        </w:tabs>
        <w:ind w:left="1584" w:hanging="1584"/>
      </w:pPr>
      <w:rPr>
        <w:rFonts w:hint="default"/>
      </w:rPr>
    </w:lvl>
  </w:abstractNum>
  <w:abstractNum w:abstractNumId="20" w15:restartNumberingAfterBreak="0">
    <w:nsid w:val="644624CA"/>
    <w:multiLevelType w:val="hybridMultilevel"/>
    <w:tmpl w:val="6E88CA9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A7B3D5C"/>
    <w:multiLevelType w:val="hybridMultilevel"/>
    <w:tmpl w:val="73E249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76D7707E"/>
    <w:multiLevelType w:val="hybridMultilevel"/>
    <w:tmpl w:val="BD2E3D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77250C03"/>
    <w:multiLevelType w:val="multilevel"/>
    <w:tmpl w:val="DCC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68755C"/>
    <w:multiLevelType w:val="hybridMultilevel"/>
    <w:tmpl w:val="1D663B66"/>
    <w:lvl w:ilvl="0" w:tplc="0816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
  </w:num>
  <w:num w:numId="4">
    <w:abstractNumId w:val="24"/>
  </w:num>
  <w:num w:numId="5">
    <w:abstractNumId w:val="14"/>
  </w:num>
  <w:num w:numId="6">
    <w:abstractNumId w:val="8"/>
  </w:num>
  <w:num w:numId="7">
    <w:abstractNumId w:val="16"/>
  </w:num>
  <w:num w:numId="8">
    <w:abstractNumId w:val="22"/>
  </w:num>
  <w:num w:numId="9">
    <w:abstractNumId w:val="21"/>
  </w:num>
  <w:num w:numId="10">
    <w:abstractNumId w:val="1"/>
  </w:num>
  <w:num w:numId="11">
    <w:abstractNumId w:val="3"/>
  </w:num>
  <w:num w:numId="12">
    <w:abstractNumId w:val="5"/>
  </w:num>
  <w:num w:numId="13">
    <w:abstractNumId w:val="13"/>
  </w:num>
  <w:num w:numId="14">
    <w:abstractNumId w:val="18"/>
  </w:num>
  <w:num w:numId="15">
    <w:abstractNumId w:val="12"/>
  </w:num>
  <w:num w:numId="16">
    <w:abstractNumId w:val="10"/>
  </w:num>
  <w:num w:numId="17">
    <w:abstractNumId w:val="11"/>
  </w:num>
  <w:num w:numId="18">
    <w:abstractNumId w:val="20"/>
  </w:num>
  <w:num w:numId="19">
    <w:abstractNumId w:val="19"/>
  </w:num>
  <w:num w:numId="20">
    <w:abstractNumId w:val="19"/>
  </w:num>
  <w:num w:numId="21">
    <w:abstractNumId w:val="19"/>
  </w:num>
  <w:num w:numId="22">
    <w:abstractNumId w:val="9"/>
  </w:num>
  <w:num w:numId="23">
    <w:abstractNumId w:val="6"/>
  </w:num>
  <w:num w:numId="24">
    <w:abstractNumId w:val="23"/>
  </w:num>
  <w:num w:numId="25">
    <w:abstractNumId w:val="7"/>
  </w:num>
  <w:num w:numId="26">
    <w:abstractNumId w:val="15"/>
  </w:num>
  <w:num w:numId="27">
    <w:abstractNumId w:val="4"/>
  </w:num>
  <w:num w:numId="2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noPunctuationKerning/>
  <w:characterSpacingControl w:val="doNotCompress"/>
  <w:hdrShapeDefaults>
    <o:shapedefaults v:ext="edit" spidmax="2049" o:allowincell="f"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eyMLU0NTeyNDczNTBQ0lEKTi0uzszPAykwrwUAKNd/UywAAAA="/>
    <w:docVar w:name="LW_DocType" w:val="NORMAL"/>
  </w:docVars>
  <w:rsids>
    <w:rsidRoot w:val="000D1F71"/>
    <w:rsid w:val="00000358"/>
    <w:rsid w:val="0000056E"/>
    <w:rsid w:val="000007A5"/>
    <w:rsid w:val="00000D05"/>
    <w:rsid w:val="00000D2A"/>
    <w:rsid w:val="00000F84"/>
    <w:rsid w:val="0000100E"/>
    <w:rsid w:val="00001539"/>
    <w:rsid w:val="00001C84"/>
    <w:rsid w:val="00001EE3"/>
    <w:rsid w:val="0000220F"/>
    <w:rsid w:val="00002569"/>
    <w:rsid w:val="00003073"/>
    <w:rsid w:val="000031CA"/>
    <w:rsid w:val="000036B1"/>
    <w:rsid w:val="00003E3E"/>
    <w:rsid w:val="000044B0"/>
    <w:rsid w:val="000045BE"/>
    <w:rsid w:val="000048E4"/>
    <w:rsid w:val="00004F25"/>
    <w:rsid w:val="0000519D"/>
    <w:rsid w:val="000059F7"/>
    <w:rsid w:val="00005B24"/>
    <w:rsid w:val="0000602E"/>
    <w:rsid w:val="000063CB"/>
    <w:rsid w:val="00006630"/>
    <w:rsid w:val="000068CB"/>
    <w:rsid w:val="00006FBF"/>
    <w:rsid w:val="00010553"/>
    <w:rsid w:val="00010C32"/>
    <w:rsid w:val="00010D9D"/>
    <w:rsid w:val="0001235E"/>
    <w:rsid w:val="0001242B"/>
    <w:rsid w:val="0001367D"/>
    <w:rsid w:val="000136F5"/>
    <w:rsid w:val="000137D2"/>
    <w:rsid w:val="0001558A"/>
    <w:rsid w:val="0001741A"/>
    <w:rsid w:val="0002002E"/>
    <w:rsid w:val="00020861"/>
    <w:rsid w:val="00021161"/>
    <w:rsid w:val="000218AD"/>
    <w:rsid w:val="00021F33"/>
    <w:rsid w:val="00022163"/>
    <w:rsid w:val="00022A69"/>
    <w:rsid w:val="000238FF"/>
    <w:rsid w:val="00023925"/>
    <w:rsid w:val="00023D3F"/>
    <w:rsid w:val="000240E5"/>
    <w:rsid w:val="000258C6"/>
    <w:rsid w:val="00025D99"/>
    <w:rsid w:val="000266AD"/>
    <w:rsid w:val="00026BB9"/>
    <w:rsid w:val="00026D9A"/>
    <w:rsid w:val="000274B8"/>
    <w:rsid w:val="0002767F"/>
    <w:rsid w:val="0002791D"/>
    <w:rsid w:val="000300DB"/>
    <w:rsid w:val="000302D0"/>
    <w:rsid w:val="00030B19"/>
    <w:rsid w:val="00030F45"/>
    <w:rsid w:val="000311E0"/>
    <w:rsid w:val="00031398"/>
    <w:rsid w:val="000313CE"/>
    <w:rsid w:val="000314A8"/>
    <w:rsid w:val="000317FD"/>
    <w:rsid w:val="000319B6"/>
    <w:rsid w:val="000329CC"/>
    <w:rsid w:val="00033005"/>
    <w:rsid w:val="00033451"/>
    <w:rsid w:val="00033971"/>
    <w:rsid w:val="00033DDE"/>
    <w:rsid w:val="00035373"/>
    <w:rsid w:val="00036179"/>
    <w:rsid w:val="000364B1"/>
    <w:rsid w:val="00036917"/>
    <w:rsid w:val="00036CA8"/>
    <w:rsid w:val="00036CFD"/>
    <w:rsid w:val="00036F50"/>
    <w:rsid w:val="00037019"/>
    <w:rsid w:val="000373DB"/>
    <w:rsid w:val="0003747F"/>
    <w:rsid w:val="00037792"/>
    <w:rsid w:val="00040438"/>
    <w:rsid w:val="00040A22"/>
    <w:rsid w:val="00040F3E"/>
    <w:rsid w:val="00041929"/>
    <w:rsid w:val="00041D9E"/>
    <w:rsid w:val="00042124"/>
    <w:rsid w:val="00042156"/>
    <w:rsid w:val="0004225D"/>
    <w:rsid w:val="00043C20"/>
    <w:rsid w:val="00043F3D"/>
    <w:rsid w:val="000445BE"/>
    <w:rsid w:val="00046D28"/>
    <w:rsid w:val="00046E77"/>
    <w:rsid w:val="00046FFE"/>
    <w:rsid w:val="00047732"/>
    <w:rsid w:val="00050427"/>
    <w:rsid w:val="00052B3E"/>
    <w:rsid w:val="000532A1"/>
    <w:rsid w:val="00053573"/>
    <w:rsid w:val="00053ABE"/>
    <w:rsid w:val="00053CB1"/>
    <w:rsid w:val="00054078"/>
    <w:rsid w:val="00054C00"/>
    <w:rsid w:val="00055201"/>
    <w:rsid w:val="00055D01"/>
    <w:rsid w:val="00055E1F"/>
    <w:rsid w:val="00055FB6"/>
    <w:rsid w:val="000568AD"/>
    <w:rsid w:val="000569B1"/>
    <w:rsid w:val="00056C74"/>
    <w:rsid w:val="00056D47"/>
    <w:rsid w:val="0005742E"/>
    <w:rsid w:val="00057585"/>
    <w:rsid w:val="000575F1"/>
    <w:rsid w:val="00057C68"/>
    <w:rsid w:val="00057DA4"/>
    <w:rsid w:val="000604D6"/>
    <w:rsid w:val="00060607"/>
    <w:rsid w:val="00060DA8"/>
    <w:rsid w:val="00061B4B"/>
    <w:rsid w:val="00061C0B"/>
    <w:rsid w:val="000629EB"/>
    <w:rsid w:val="00062DA7"/>
    <w:rsid w:val="00063724"/>
    <w:rsid w:val="0006494B"/>
    <w:rsid w:val="00064F83"/>
    <w:rsid w:val="0006583E"/>
    <w:rsid w:val="00065C84"/>
    <w:rsid w:val="00065D0C"/>
    <w:rsid w:val="00065DC9"/>
    <w:rsid w:val="00066346"/>
    <w:rsid w:val="00066702"/>
    <w:rsid w:val="00066C6F"/>
    <w:rsid w:val="00066CF8"/>
    <w:rsid w:val="000671FA"/>
    <w:rsid w:val="000678B2"/>
    <w:rsid w:val="00067970"/>
    <w:rsid w:val="00070B52"/>
    <w:rsid w:val="00072942"/>
    <w:rsid w:val="00072C4D"/>
    <w:rsid w:val="00072D26"/>
    <w:rsid w:val="000733A8"/>
    <w:rsid w:val="000733D6"/>
    <w:rsid w:val="00073452"/>
    <w:rsid w:val="000734F9"/>
    <w:rsid w:val="00073B9F"/>
    <w:rsid w:val="00073C2C"/>
    <w:rsid w:val="00073C9C"/>
    <w:rsid w:val="00074177"/>
    <w:rsid w:val="000743DA"/>
    <w:rsid w:val="000752C3"/>
    <w:rsid w:val="00075304"/>
    <w:rsid w:val="00075D0A"/>
    <w:rsid w:val="0007675D"/>
    <w:rsid w:val="00076803"/>
    <w:rsid w:val="00076A83"/>
    <w:rsid w:val="00076B15"/>
    <w:rsid w:val="0008006B"/>
    <w:rsid w:val="00080FA7"/>
    <w:rsid w:val="000814FB"/>
    <w:rsid w:val="0008217B"/>
    <w:rsid w:val="000824DC"/>
    <w:rsid w:val="0008293F"/>
    <w:rsid w:val="00082DAD"/>
    <w:rsid w:val="00082F7C"/>
    <w:rsid w:val="00083550"/>
    <w:rsid w:val="000840B7"/>
    <w:rsid w:val="0008500F"/>
    <w:rsid w:val="00085688"/>
    <w:rsid w:val="00086215"/>
    <w:rsid w:val="000862B5"/>
    <w:rsid w:val="00086773"/>
    <w:rsid w:val="00086A60"/>
    <w:rsid w:val="00087AC1"/>
    <w:rsid w:val="00090103"/>
    <w:rsid w:val="000903B2"/>
    <w:rsid w:val="00090CE0"/>
    <w:rsid w:val="00090F96"/>
    <w:rsid w:val="0009131B"/>
    <w:rsid w:val="0009131F"/>
    <w:rsid w:val="000914B0"/>
    <w:rsid w:val="00091AFD"/>
    <w:rsid w:val="00092064"/>
    <w:rsid w:val="000925E8"/>
    <w:rsid w:val="00092659"/>
    <w:rsid w:val="00092E86"/>
    <w:rsid w:val="0009341C"/>
    <w:rsid w:val="0009345F"/>
    <w:rsid w:val="00093785"/>
    <w:rsid w:val="00093890"/>
    <w:rsid w:val="00093DDC"/>
    <w:rsid w:val="000941E3"/>
    <w:rsid w:val="00094DE1"/>
    <w:rsid w:val="000952D7"/>
    <w:rsid w:val="00095F1C"/>
    <w:rsid w:val="0009631B"/>
    <w:rsid w:val="00096E98"/>
    <w:rsid w:val="00096F37"/>
    <w:rsid w:val="000974B6"/>
    <w:rsid w:val="00097828"/>
    <w:rsid w:val="00097BDB"/>
    <w:rsid w:val="00097CC0"/>
    <w:rsid w:val="000A020C"/>
    <w:rsid w:val="000A0774"/>
    <w:rsid w:val="000A1083"/>
    <w:rsid w:val="000A19DE"/>
    <w:rsid w:val="000A32BE"/>
    <w:rsid w:val="000A39BD"/>
    <w:rsid w:val="000A3F8A"/>
    <w:rsid w:val="000A445A"/>
    <w:rsid w:val="000A4CDC"/>
    <w:rsid w:val="000A51BA"/>
    <w:rsid w:val="000A57C4"/>
    <w:rsid w:val="000A5DCF"/>
    <w:rsid w:val="000A6FA7"/>
    <w:rsid w:val="000A72B3"/>
    <w:rsid w:val="000A740C"/>
    <w:rsid w:val="000B01A9"/>
    <w:rsid w:val="000B02B2"/>
    <w:rsid w:val="000B1466"/>
    <w:rsid w:val="000B16A3"/>
    <w:rsid w:val="000B1886"/>
    <w:rsid w:val="000B2781"/>
    <w:rsid w:val="000B2894"/>
    <w:rsid w:val="000B42A8"/>
    <w:rsid w:val="000B4DEA"/>
    <w:rsid w:val="000B4DED"/>
    <w:rsid w:val="000B513F"/>
    <w:rsid w:val="000B5148"/>
    <w:rsid w:val="000B5738"/>
    <w:rsid w:val="000B59CB"/>
    <w:rsid w:val="000B6760"/>
    <w:rsid w:val="000B69E1"/>
    <w:rsid w:val="000B6E2B"/>
    <w:rsid w:val="000B79E2"/>
    <w:rsid w:val="000B7E0C"/>
    <w:rsid w:val="000B7F5B"/>
    <w:rsid w:val="000C0F1F"/>
    <w:rsid w:val="000C0FA1"/>
    <w:rsid w:val="000C1199"/>
    <w:rsid w:val="000C1B20"/>
    <w:rsid w:val="000C285B"/>
    <w:rsid w:val="000C2880"/>
    <w:rsid w:val="000C2D86"/>
    <w:rsid w:val="000C3B92"/>
    <w:rsid w:val="000C3D9D"/>
    <w:rsid w:val="000C419A"/>
    <w:rsid w:val="000C4FEC"/>
    <w:rsid w:val="000C5015"/>
    <w:rsid w:val="000C507F"/>
    <w:rsid w:val="000C51AB"/>
    <w:rsid w:val="000C53BC"/>
    <w:rsid w:val="000C54F4"/>
    <w:rsid w:val="000C60B7"/>
    <w:rsid w:val="000C65CA"/>
    <w:rsid w:val="000C6CA6"/>
    <w:rsid w:val="000C6F18"/>
    <w:rsid w:val="000C75F5"/>
    <w:rsid w:val="000C7EC4"/>
    <w:rsid w:val="000D024E"/>
    <w:rsid w:val="000D02D7"/>
    <w:rsid w:val="000D0641"/>
    <w:rsid w:val="000D0DF3"/>
    <w:rsid w:val="000D147D"/>
    <w:rsid w:val="000D1835"/>
    <w:rsid w:val="000D18CC"/>
    <w:rsid w:val="000D1C4B"/>
    <w:rsid w:val="000D1F71"/>
    <w:rsid w:val="000D3942"/>
    <w:rsid w:val="000D45A8"/>
    <w:rsid w:val="000D4928"/>
    <w:rsid w:val="000D4B6C"/>
    <w:rsid w:val="000D4FFC"/>
    <w:rsid w:val="000D5655"/>
    <w:rsid w:val="000D6295"/>
    <w:rsid w:val="000D6DDC"/>
    <w:rsid w:val="000D70B1"/>
    <w:rsid w:val="000D76C1"/>
    <w:rsid w:val="000D78BA"/>
    <w:rsid w:val="000D7A85"/>
    <w:rsid w:val="000E00A5"/>
    <w:rsid w:val="000E03A2"/>
    <w:rsid w:val="000E0D13"/>
    <w:rsid w:val="000E1716"/>
    <w:rsid w:val="000E2EB4"/>
    <w:rsid w:val="000E3355"/>
    <w:rsid w:val="000E37B2"/>
    <w:rsid w:val="000E3831"/>
    <w:rsid w:val="000E47AE"/>
    <w:rsid w:val="000E492D"/>
    <w:rsid w:val="000E4D77"/>
    <w:rsid w:val="000E5BA8"/>
    <w:rsid w:val="000E6422"/>
    <w:rsid w:val="000E66FB"/>
    <w:rsid w:val="000E720C"/>
    <w:rsid w:val="000E7B86"/>
    <w:rsid w:val="000F00D7"/>
    <w:rsid w:val="000F19BC"/>
    <w:rsid w:val="000F1BB0"/>
    <w:rsid w:val="000F2401"/>
    <w:rsid w:val="000F26E3"/>
    <w:rsid w:val="000F327A"/>
    <w:rsid w:val="000F39BE"/>
    <w:rsid w:val="000F3B75"/>
    <w:rsid w:val="000F4040"/>
    <w:rsid w:val="000F4A7B"/>
    <w:rsid w:val="000F4B79"/>
    <w:rsid w:val="000F4CD8"/>
    <w:rsid w:val="000F5913"/>
    <w:rsid w:val="000F637E"/>
    <w:rsid w:val="000F72E4"/>
    <w:rsid w:val="000F7382"/>
    <w:rsid w:val="000F7FF8"/>
    <w:rsid w:val="001008DD"/>
    <w:rsid w:val="00100AEC"/>
    <w:rsid w:val="00100CAE"/>
    <w:rsid w:val="0010113D"/>
    <w:rsid w:val="0010144F"/>
    <w:rsid w:val="00101758"/>
    <w:rsid w:val="0010212A"/>
    <w:rsid w:val="001028D0"/>
    <w:rsid w:val="00102D3F"/>
    <w:rsid w:val="00103B7E"/>
    <w:rsid w:val="00103FF9"/>
    <w:rsid w:val="0010403A"/>
    <w:rsid w:val="001044CF"/>
    <w:rsid w:val="00104652"/>
    <w:rsid w:val="0010478C"/>
    <w:rsid w:val="0010541A"/>
    <w:rsid w:val="00105AA0"/>
    <w:rsid w:val="00106F06"/>
    <w:rsid w:val="001077E8"/>
    <w:rsid w:val="00107E0C"/>
    <w:rsid w:val="0011024B"/>
    <w:rsid w:val="00110334"/>
    <w:rsid w:val="00110337"/>
    <w:rsid w:val="00110516"/>
    <w:rsid w:val="0011125A"/>
    <w:rsid w:val="00111F2C"/>
    <w:rsid w:val="00111F7C"/>
    <w:rsid w:val="00111FBD"/>
    <w:rsid w:val="00112953"/>
    <w:rsid w:val="0011313C"/>
    <w:rsid w:val="0011344E"/>
    <w:rsid w:val="001135E0"/>
    <w:rsid w:val="001138DC"/>
    <w:rsid w:val="00113DB9"/>
    <w:rsid w:val="001147FC"/>
    <w:rsid w:val="00114DDD"/>
    <w:rsid w:val="00116255"/>
    <w:rsid w:val="001168B3"/>
    <w:rsid w:val="00116AAA"/>
    <w:rsid w:val="00117134"/>
    <w:rsid w:val="001206CC"/>
    <w:rsid w:val="00120A08"/>
    <w:rsid w:val="00120B9F"/>
    <w:rsid w:val="0012128B"/>
    <w:rsid w:val="0012134D"/>
    <w:rsid w:val="00121701"/>
    <w:rsid w:val="001217AA"/>
    <w:rsid w:val="0012195A"/>
    <w:rsid w:val="001219BC"/>
    <w:rsid w:val="00121F05"/>
    <w:rsid w:val="0012204E"/>
    <w:rsid w:val="001222A1"/>
    <w:rsid w:val="0012233E"/>
    <w:rsid w:val="00122663"/>
    <w:rsid w:val="00122A4B"/>
    <w:rsid w:val="00122F52"/>
    <w:rsid w:val="0012304D"/>
    <w:rsid w:val="00123094"/>
    <w:rsid w:val="00123346"/>
    <w:rsid w:val="00123694"/>
    <w:rsid w:val="0012525E"/>
    <w:rsid w:val="00126419"/>
    <w:rsid w:val="001264B1"/>
    <w:rsid w:val="00126658"/>
    <w:rsid w:val="00126EB3"/>
    <w:rsid w:val="00127345"/>
    <w:rsid w:val="001276D1"/>
    <w:rsid w:val="001277A8"/>
    <w:rsid w:val="00127F10"/>
    <w:rsid w:val="00127F63"/>
    <w:rsid w:val="00130ABA"/>
    <w:rsid w:val="00130E8F"/>
    <w:rsid w:val="0013113F"/>
    <w:rsid w:val="0013157D"/>
    <w:rsid w:val="001319D9"/>
    <w:rsid w:val="00132556"/>
    <w:rsid w:val="0013349E"/>
    <w:rsid w:val="00133972"/>
    <w:rsid w:val="00133D20"/>
    <w:rsid w:val="0013434C"/>
    <w:rsid w:val="00134647"/>
    <w:rsid w:val="00134ED1"/>
    <w:rsid w:val="0013510D"/>
    <w:rsid w:val="00135420"/>
    <w:rsid w:val="00135796"/>
    <w:rsid w:val="00136A26"/>
    <w:rsid w:val="0013743A"/>
    <w:rsid w:val="00140034"/>
    <w:rsid w:val="001403B4"/>
    <w:rsid w:val="001406FD"/>
    <w:rsid w:val="00140777"/>
    <w:rsid w:val="00141323"/>
    <w:rsid w:val="001435A0"/>
    <w:rsid w:val="00143843"/>
    <w:rsid w:val="00143DA6"/>
    <w:rsid w:val="00144078"/>
    <w:rsid w:val="001441C4"/>
    <w:rsid w:val="001454F4"/>
    <w:rsid w:val="00145C54"/>
    <w:rsid w:val="00145F44"/>
    <w:rsid w:val="00146903"/>
    <w:rsid w:val="00146974"/>
    <w:rsid w:val="0014786F"/>
    <w:rsid w:val="00147BF7"/>
    <w:rsid w:val="00147DB2"/>
    <w:rsid w:val="0015019F"/>
    <w:rsid w:val="00150719"/>
    <w:rsid w:val="00150D92"/>
    <w:rsid w:val="00151141"/>
    <w:rsid w:val="001513BC"/>
    <w:rsid w:val="00151B0C"/>
    <w:rsid w:val="00151EE8"/>
    <w:rsid w:val="00152421"/>
    <w:rsid w:val="00152B97"/>
    <w:rsid w:val="00153134"/>
    <w:rsid w:val="0015404F"/>
    <w:rsid w:val="001544CB"/>
    <w:rsid w:val="00154FDA"/>
    <w:rsid w:val="00155C20"/>
    <w:rsid w:val="001562A2"/>
    <w:rsid w:val="00156378"/>
    <w:rsid w:val="00157755"/>
    <w:rsid w:val="001618BB"/>
    <w:rsid w:val="00161B2E"/>
    <w:rsid w:val="00162212"/>
    <w:rsid w:val="00162221"/>
    <w:rsid w:val="001624AC"/>
    <w:rsid w:val="001629C4"/>
    <w:rsid w:val="001629DA"/>
    <w:rsid w:val="00162B4D"/>
    <w:rsid w:val="00162E7D"/>
    <w:rsid w:val="00163F48"/>
    <w:rsid w:val="001641C6"/>
    <w:rsid w:val="00164329"/>
    <w:rsid w:val="00164696"/>
    <w:rsid w:val="001646C6"/>
    <w:rsid w:val="00164B7B"/>
    <w:rsid w:val="00165928"/>
    <w:rsid w:val="001664CF"/>
    <w:rsid w:val="00166536"/>
    <w:rsid w:val="00170180"/>
    <w:rsid w:val="001703BF"/>
    <w:rsid w:val="00170DAE"/>
    <w:rsid w:val="00170EE3"/>
    <w:rsid w:val="001739AD"/>
    <w:rsid w:val="00173E88"/>
    <w:rsid w:val="00173F89"/>
    <w:rsid w:val="00174242"/>
    <w:rsid w:val="00174276"/>
    <w:rsid w:val="0017447C"/>
    <w:rsid w:val="00174816"/>
    <w:rsid w:val="00174CF6"/>
    <w:rsid w:val="00175256"/>
    <w:rsid w:val="00175954"/>
    <w:rsid w:val="00176701"/>
    <w:rsid w:val="00176782"/>
    <w:rsid w:val="00180577"/>
    <w:rsid w:val="001813BC"/>
    <w:rsid w:val="00181655"/>
    <w:rsid w:val="00181B30"/>
    <w:rsid w:val="001824F9"/>
    <w:rsid w:val="00182AAE"/>
    <w:rsid w:val="001832FB"/>
    <w:rsid w:val="00183E74"/>
    <w:rsid w:val="00184314"/>
    <w:rsid w:val="00184745"/>
    <w:rsid w:val="0018496A"/>
    <w:rsid w:val="00184B04"/>
    <w:rsid w:val="00184DB0"/>
    <w:rsid w:val="00187124"/>
    <w:rsid w:val="00187C16"/>
    <w:rsid w:val="0019061A"/>
    <w:rsid w:val="00190EA3"/>
    <w:rsid w:val="00191415"/>
    <w:rsid w:val="001915B3"/>
    <w:rsid w:val="001916AB"/>
    <w:rsid w:val="001925E7"/>
    <w:rsid w:val="00192D72"/>
    <w:rsid w:val="00193509"/>
    <w:rsid w:val="00193A68"/>
    <w:rsid w:val="00193BEE"/>
    <w:rsid w:val="0019413F"/>
    <w:rsid w:val="001952C5"/>
    <w:rsid w:val="001953EE"/>
    <w:rsid w:val="00195439"/>
    <w:rsid w:val="00196025"/>
    <w:rsid w:val="001960B8"/>
    <w:rsid w:val="001966ED"/>
    <w:rsid w:val="0019735F"/>
    <w:rsid w:val="00197DDB"/>
    <w:rsid w:val="00197DF2"/>
    <w:rsid w:val="001A0218"/>
    <w:rsid w:val="001A0596"/>
    <w:rsid w:val="001A07B9"/>
    <w:rsid w:val="001A0A5A"/>
    <w:rsid w:val="001A15F4"/>
    <w:rsid w:val="001A1842"/>
    <w:rsid w:val="001A1B42"/>
    <w:rsid w:val="001A1B4E"/>
    <w:rsid w:val="001A1CB4"/>
    <w:rsid w:val="001A236E"/>
    <w:rsid w:val="001A28F4"/>
    <w:rsid w:val="001A374F"/>
    <w:rsid w:val="001A3791"/>
    <w:rsid w:val="001A3869"/>
    <w:rsid w:val="001A4065"/>
    <w:rsid w:val="001A423C"/>
    <w:rsid w:val="001A440A"/>
    <w:rsid w:val="001A4E47"/>
    <w:rsid w:val="001A5A43"/>
    <w:rsid w:val="001A5D81"/>
    <w:rsid w:val="001A5F83"/>
    <w:rsid w:val="001A5FD9"/>
    <w:rsid w:val="001A7402"/>
    <w:rsid w:val="001A756E"/>
    <w:rsid w:val="001A77C7"/>
    <w:rsid w:val="001A7A79"/>
    <w:rsid w:val="001A7DCB"/>
    <w:rsid w:val="001B19C8"/>
    <w:rsid w:val="001B252A"/>
    <w:rsid w:val="001B2ACA"/>
    <w:rsid w:val="001B30C9"/>
    <w:rsid w:val="001B39C2"/>
    <w:rsid w:val="001B64B9"/>
    <w:rsid w:val="001B6944"/>
    <w:rsid w:val="001B737F"/>
    <w:rsid w:val="001B768C"/>
    <w:rsid w:val="001C00DC"/>
    <w:rsid w:val="001C079C"/>
    <w:rsid w:val="001C0D14"/>
    <w:rsid w:val="001C1DA3"/>
    <w:rsid w:val="001C1DB8"/>
    <w:rsid w:val="001C2312"/>
    <w:rsid w:val="001C2565"/>
    <w:rsid w:val="001C3788"/>
    <w:rsid w:val="001C4047"/>
    <w:rsid w:val="001C4185"/>
    <w:rsid w:val="001C423E"/>
    <w:rsid w:val="001C438F"/>
    <w:rsid w:val="001C4B2E"/>
    <w:rsid w:val="001C4C7C"/>
    <w:rsid w:val="001C55AC"/>
    <w:rsid w:val="001C5715"/>
    <w:rsid w:val="001C5A48"/>
    <w:rsid w:val="001C5E7C"/>
    <w:rsid w:val="001C6688"/>
    <w:rsid w:val="001C7D04"/>
    <w:rsid w:val="001D0DBF"/>
    <w:rsid w:val="001D0E1C"/>
    <w:rsid w:val="001D0ECE"/>
    <w:rsid w:val="001D1016"/>
    <w:rsid w:val="001D10FA"/>
    <w:rsid w:val="001D1DDC"/>
    <w:rsid w:val="001D2084"/>
    <w:rsid w:val="001D24CF"/>
    <w:rsid w:val="001D2E46"/>
    <w:rsid w:val="001D3F8F"/>
    <w:rsid w:val="001D4056"/>
    <w:rsid w:val="001D405D"/>
    <w:rsid w:val="001D4141"/>
    <w:rsid w:val="001D5562"/>
    <w:rsid w:val="001D5828"/>
    <w:rsid w:val="001D5AC2"/>
    <w:rsid w:val="001D5C8D"/>
    <w:rsid w:val="001D5F84"/>
    <w:rsid w:val="001D6B4D"/>
    <w:rsid w:val="001D6EDF"/>
    <w:rsid w:val="001D79F0"/>
    <w:rsid w:val="001E0280"/>
    <w:rsid w:val="001E0C0C"/>
    <w:rsid w:val="001E0E99"/>
    <w:rsid w:val="001E1AD6"/>
    <w:rsid w:val="001E21C7"/>
    <w:rsid w:val="001E45CD"/>
    <w:rsid w:val="001E4698"/>
    <w:rsid w:val="001E46C1"/>
    <w:rsid w:val="001E662E"/>
    <w:rsid w:val="001E7256"/>
    <w:rsid w:val="001E75E0"/>
    <w:rsid w:val="001F0DD9"/>
    <w:rsid w:val="001F1C2D"/>
    <w:rsid w:val="001F1F8F"/>
    <w:rsid w:val="001F2A45"/>
    <w:rsid w:val="001F2DA9"/>
    <w:rsid w:val="001F3A93"/>
    <w:rsid w:val="001F3EB0"/>
    <w:rsid w:val="001F4065"/>
    <w:rsid w:val="001F4469"/>
    <w:rsid w:val="001F44FD"/>
    <w:rsid w:val="001F4822"/>
    <w:rsid w:val="001F4A35"/>
    <w:rsid w:val="001F4A74"/>
    <w:rsid w:val="001F4CD6"/>
    <w:rsid w:val="001F4F6C"/>
    <w:rsid w:val="001F548B"/>
    <w:rsid w:val="001F5E34"/>
    <w:rsid w:val="001F5E74"/>
    <w:rsid w:val="001F67D1"/>
    <w:rsid w:val="001F70F3"/>
    <w:rsid w:val="001F72D3"/>
    <w:rsid w:val="001F74B9"/>
    <w:rsid w:val="00200819"/>
    <w:rsid w:val="00200DC1"/>
    <w:rsid w:val="00201858"/>
    <w:rsid w:val="002021FD"/>
    <w:rsid w:val="00203ECD"/>
    <w:rsid w:val="00203F01"/>
    <w:rsid w:val="00204558"/>
    <w:rsid w:val="0020523E"/>
    <w:rsid w:val="00205844"/>
    <w:rsid w:val="002062A2"/>
    <w:rsid w:val="00206957"/>
    <w:rsid w:val="00206F3C"/>
    <w:rsid w:val="00207358"/>
    <w:rsid w:val="00207545"/>
    <w:rsid w:val="00207707"/>
    <w:rsid w:val="00207846"/>
    <w:rsid w:val="00207CB9"/>
    <w:rsid w:val="00207D62"/>
    <w:rsid w:val="00207F31"/>
    <w:rsid w:val="00210713"/>
    <w:rsid w:val="002118FD"/>
    <w:rsid w:val="002119BE"/>
    <w:rsid w:val="00212A3C"/>
    <w:rsid w:val="00212B0B"/>
    <w:rsid w:val="00213365"/>
    <w:rsid w:val="00213794"/>
    <w:rsid w:val="00213A8A"/>
    <w:rsid w:val="002147A6"/>
    <w:rsid w:val="00214A0B"/>
    <w:rsid w:val="00214F5F"/>
    <w:rsid w:val="002154CA"/>
    <w:rsid w:val="00215763"/>
    <w:rsid w:val="00215B47"/>
    <w:rsid w:val="00215CF3"/>
    <w:rsid w:val="002173A7"/>
    <w:rsid w:val="00217630"/>
    <w:rsid w:val="00217735"/>
    <w:rsid w:val="00217CDA"/>
    <w:rsid w:val="002212F1"/>
    <w:rsid w:val="00221891"/>
    <w:rsid w:val="00221C0B"/>
    <w:rsid w:val="002220FE"/>
    <w:rsid w:val="0022256E"/>
    <w:rsid w:val="002227FF"/>
    <w:rsid w:val="00222BB2"/>
    <w:rsid w:val="00222FD9"/>
    <w:rsid w:val="00223289"/>
    <w:rsid w:val="00223607"/>
    <w:rsid w:val="002239B7"/>
    <w:rsid w:val="00223D1F"/>
    <w:rsid w:val="002244CC"/>
    <w:rsid w:val="0022458B"/>
    <w:rsid w:val="002260DE"/>
    <w:rsid w:val="002269C3"/>
    <w:rsid w:val="00226CBB"/>
    <w:rsid w:val="002275A0"/>
    <w:rsid w:val="00227841"/>
    <w:rsid w:val="002306B3"/>
    <w:rsid w:val="00232066"/>
    <w:rsid w:val="00232591"/>
    <w:rsid w:val="002325A3"/>
    <w:rsid w:val="00232937"/>
    <w:rsid w:val="00232C07"/>
    <w:rsid w:val="002332F5"/>
    <w:rsid w:val="002340CF"/>
    <w:rsid w:val="002341EB"/>
    <w:rsid w:val="00234C76"/>
    <w:rsid w:val="00236141"/>
    <w:rsid w:val="002362D5"/>
    <w:rsid w:val="002363EC"/>
    <w:rsid w:val="00236401"/>
    <w:rsid w:val="00236634"/>
    <w:rsid w:val="00236D2A"/>
    <w:rsid w:val="00237B72"/>
    <w:rsid w:val="00237F51"/>
    <w:rsid w:val="002401AA"/>
    <w:rsid w:val="002402EB"/>
    <w:rsid w:val="00240F68"/>
    <w:rsid w:val="00242992"/>
    <w:rsid w:val="00242F47"/>
    <w:rsid w:val="002432E0"/>
    <w:rsid w:val="00243E6D"/>
    <w:rsid w:val="00244243"/>
    <w:rsid w:val="002442A1"/>
    <w:rsid w:val="00244F4B"/>
    <w:rsid w:val="00245ECF"/>
    <w:rsid w:val="00246D0E"/>
    <w:rsid w:val="00247BEB"/>
    <w:rsid w:val="00247FCB"/>
    <w:rsid w:val="00250C87"/>
    <w:rsid w:val="00250F92"/>
    <w:rsid w:val="00251AA6"/>
    <w:rsid w:val="00252BE0"/>
    <w:rsid w:val="002533D5"/>
    <w:rsid w:val="0025369F"/>
    <w:rsid w:val="00253936"/>
    <w:rsid w:val="00255EB9"/>
    <w:rsid w:val="002561EC"/>
    <w:rsid w:val="002564AB"/>
    <w:rsid w:val="00256831"/>
    <w:rsid w:val="002604DA"/>
    <w:rsid w:val="00260D14"/>
    <w:rsid w:val="00260D80"/>
    <w:rsid w:val="002610CF"/>
    <w:rsid w:val="002612AD"/>
    <w:rsid w:val="00262031"/>
    <w:rsid w:val="00263F62"/>
    <w:rsid w:val="0026406C"/>
    <w:rsid w:val="00264441"/>
    <w:rsid w:val="00265634"/>
    <w:rsid w:val="002657C9"/>
    <w:rsid w:val="00265CBE"/>
    <w:rsid w:val="002661E9"/>
    <w:rsid w:val="002661EE"/>
    <w:rsid w:val="00266515"/>
    <w:rsid w:val="00266568"/>
    <w:rsid w:val="002674F3"/>
    <w:rsid w:val="00267944"/>
    <w:rsid w:val="00267CC0"/>
    <w:rsid w:val="002705A1"/>
    <w:rsid w:val="002716F1"/>
    <w:rsid w:val="0027205C"/>
    <w:rsid w:val="00272E79"/>
    <w:rsid w:val="00273694"/>
    <w:rsid w:val="00274233"/>
    <w:rsid w:val="00274B97"/>
    <w:rsid w:val="00275319"/>
    <w:rsid w:val="002754BB"/>
    <w:rsid w:val="00275FD9"/>
    <w:rsid w:val="00276970"/>
    <w:rsid w:val="00277401"/>
    <w:rsid w:val="00277723"/>
    <w:rsid w:val="00280571"/>
    <w:rsid w:val="002806CE"/>
    <w:rsid w:val="00281198"/>
    <w:rsid w:val="002811F7"/>
    <w:rsid w:val="002817B9"/>
    <w:rsid w:val="002822D8"/>
    <w:rsid w:val="0028374A"/>
    <w:rsid w:val="002837E5"/>
    <w:rsid w:val="00283D4A"/>
    <w:rsid w:val="002844DE"/>
    <w:rsid w:val="00284527"/>
    <w:rsid w:val="0028486E"/>
    <w:rsid w:val="002848A4"/>
    <w:rsid w:val="00284DEA"/>
    <w:rsid w:val="00284FD6"/>
    <w:rsid w:val="0028516E"/>
    <w:rsid w:val="002852A5"/>
    <w:rsid w:val="00286418"/>
    <w:rsid w:val="0028722A"/>
    <w:rsid w:val="0028730F"/>
    <w:rsid w:val="002878AE"/>
    <w:rsid w:val="00287D6A"/>
    <w:rsid w:val="00290477"/>
    <w:rsid w:val="00290A46"/>
    <w:rsid w:val="00290B4D"/>
    <w:rsid w:val="00290D4F"/>
    <w:rsid w:val="00290E80"/>
    <w:rsid w:val="00290F04"/>
    <w:rsid w:val="00291A24"/>
    <w:rsid w:val="00291A2C"/>
    <w:rsid w:val="00291C27"/>
    <w:rsid w:val="00291D59"/>
    <w:rsid w:val="00291DDE"/>
    <w:rsid w:val="00291E95"/>
    <w:rsid w:val="00292107"/>
    <w:rsid w:val="00292631"/>
    <w:rsid w:val="002929D1"/>
    <w:rsid w:val="00292B39"/>
    <w:rsid w:val="00292C3F"/>
    <w:rsid w:val="00293DA0"/>
    <w:rsid w:val="00293DA2"/>
    <w:rsid w:val="00294251"/>
    <w:rsid w:val="00294811"/>
    <w:rsid w:val="00294CEE"/>
    <w:rsid w:val="00294F42"/>
    <w:rsid w:val="00294FEE"/>
    <w:rsid w:val="002950BB"/>
    <w:rsid w:val="002961F9"/>
    <w:rsid w:val="00296C3B"/>
    <w:rsid w:val="002979EC"/>
    <w:rsid w:val="00297C3B"/>
    <w:rsid w:val="00297E7C"/>
    <w:rsid w:val="00297EA2"/>
    <w:rsid w:val="002A0975"/>
    <w:rsid w:val="002A23B5"/>
    <w:rsid w:val="002A3035"/>
    <w:rsid w:val="002A4083"/>
    <w:rsid w:val="002A4C55"/>
    <w:rsid w:val="002A5531"/>
    <w:rsid w:val="002A59C3"/>
    <w:rsid w:val="002A5A4C"/>
    <w:rsid w:val="002A5E0F"/>
    <w:rsid w:val="002A6031"/>
    <w:rsid w:val="002A604E"/>
    <w:rsid w:val="002A6397"/>
    <w:rsid w:val="002A66A1"/>
    <w:rsid w:val="002A6A20"/>
    <w:rsid w:val="002A6CC7"/>
    <w:rsid w:val="002A6FFB"/>
    <w:rsid w:val="002A740A"/>
    <w:rsid w:val="002A78FF"/>
    <w:rsid w:val="002B011A"/>
    <w:rsid w:val="002B0C33"/>
    <w:rsid w:val="002B0C96"/>
    <w:rsid w:val="002B13F1"/>
    <w:rsid w:val="002B1774"/>
    <w:rsid w:val="002B22F7"/>
    <w:rsid w:val="002B25C7"/>
    <w:rsid w:val="002B455A"/>
    <w:rsid w:val="002B4BC1"/>
    <w:rsid w:val="002B5506"/>
    <w:rsid w:val="002B561B"/>
    <w:rsid w:val="002B6785"/>
    <w:rsid w:val="002B6B3E"/>
    <w:rsid w:val="002C0332"/>
    <w:rsid w:val="002C05EA"/>
    <w:rsid w:val="002C08A9"/>
    <w:rsid w:val="002C10E8"/>
    <w:rsid w:val="002C1DDD"/>
    <w:rsid w:val="002C203A"/>
    <w:rsid w:val="002C24DA"/>
    <w:rsid w:val="002C27C9"/>
    <w:rsid w:val="002C319B"/>
    <w:rsid w:val="002C3B1A"/>
    <w:rsid w:val="002C4338"/>
    <w:rsid w:val="002C47CF"/>
    <w:rsid w:val="002C47F9"/>
    <w:rsid w:val="002C4E58"/>
    <w:rsid w:val="002C4F22"/>
    <w:rsid w:val="002C539A"/>
    <w:rsid w:val="002C7A35"/>
    <w:rsid w:val="002D020C"/>
    <w:rsid w:val="002D1478"/>
    <w:rsid w:val="002D1562"/>
    <w:rsid w:val="002D204C"/>
    <w:rsid w:val="002D29E2"/>
    <w:rsid w:val="002D2A54"/>
    <w:rsid w:val="002D2C27"/>
    <w:rsid w:val="002D2CB9"/>
    <w:rsid w:val="002D38AB"/>
    <w:rsid w:val="002D3C07"/>
    <w:rsid w:val="002D3EC9"/>
    <w:rsid w:val="002D46D1"/>
    <w:rsid w:val="002D4CF3"/>
    <w:rsid w:val="002D54C0"/>
    <w:rsid w:val="002D5961"/>
    <w:rsid w:val="002D60C3"/>
    <w:rsid w:val="002D61CF"/>
    <w:rsid w:val="002D69FB"/>
    <w:rsid w:val="002D76BF"/>
    <w:rsid w:val="002D7D04"/>
    <w:rsid w:val="002E0384"/>
    <w:rsid w:val="002E0B0D"/>
    <w:rsid w:val="002E0BE5"/>
    <w:rsid w:val="002E0EC6"/>
    <w:rsid w:val="002E164E"/>
    <w:rsid w:val="002E16EF"/>
    <w:rsid w:val="002E1768"/>
    <w:rsid w:val="002E20BC"/>
    <w:rsid w:val="002E2520"/>
    <w:rsid w:val="002E2CEC"/>
    <w:rsid w:val="002E313D"/>
    <w:rsid w:val="002E3197"/>
    <w:rsid w:val="002E38E2"/>
    <w:rsid w:val="002E4098"/>
    <w:rsid w:val="002E423D"/>
    <w:rsid w:val="002E4663"/>
    <w:rsid w:val="002E4A97"/>
    <w:rsid w:val="002E4F91"/>
    <w:rsid w:val="002E51C5"/>
    <w:rsid w:val="002E67A2"/>
    <w:rsid w:val="002E6A7A"/>
    <w:rsid w:val="002E6B6B"/>
    <w:rsid w:val="002E74FA"/>
    <w:rsid w:val="002E7A9F"/>
    <w:rsid w:val="002F06F1"/>
    <w:rsid w:val="002F09AA"/>
    <w:rsid w:val="002F214F"/>
    <w:rsid w:val="002F217C"/>
    <w:rsid w:val="002F3000"/>
    <w:rsid w:val="002F3EE5"/>
    <w:rsid w:val="002F41E9"/>
    <w:rsid w:val="002F4612"/>
    <w:rsid w:val="002F4CD8"/>
    <w:rsid w:val="002F53BB"/>
    <w:rsid w:val="002F5540"/>
    <w:rsid w:val="002F5742"/>
    <w:rsid w:val="002F5B10"/>
    <w:rsid w:val="002F61A4"/>
    <w:rsid w:val="002F62CD"/>
    <w:rsid w:val="002F754D"/>
    <w:rsid w:val="00300863"/>
    <w:rsid w:val="00301AD0"/>
    <w:rsid w:val="00301E2A"/>
    <w:rsid w:val="003020BB"/>
    <w:rsid w:val="003021A6"/>
    <w:rsid w:val="0030247B"/>
    <w:rsid w:val="00302BCB"/>
    <w:rsid w:val="0030327A"/>
    <w:rsid w:val="00303B72"/>
    <w:rsid w:val="00304263"/>
    <w:rsid w:val="00304762"/>
    <w:rsid w:val="003048E4"/>
    <w:rsid w:val="00304A92"/>
    <w:rsid w:val="00306438"/>
    <w:rsid w:val="003069BF"/>
    <w:rsid w:val="0030754B"/>
    <w:rsid w:val="0030791D"/>
    <w:rsid w:val="0031168B"/>
    <w:rsid w:val="00311E2A"/>
    <w:rsid w:val="00312001"/>
    <w:rsid w:val="0031285A"/>
    <w:rsid w:val="003134B6"/>
    <w:rsid w:val="003135A4"/>
    <w:rsid w:val="003140E3"/>
    <w:rsid w:val="003140FD"/>
    <w:rsid w:val="00315153"/>
    <w:rsid w:val="003152BB"/>
    <w:rsid w:val="00315F2B"/>
    <w:rsid w:val="0031625A"/>
    <w:rsid w:val="00316B08"/>
    <w:rsid w:val="00316BEB"/>
    <w:rsid w:val="00317115"/>
    <w:rsid w:val="00317A53"/>
    <w:rsid w:val="00317DF7"/>
    <w:rsid w:val="003203D3"/>
    <w:rsid w:val="00320B85"/>
    <w:rsid w:val="00320D7A"/>
    <w:rsid w:val="00320DA6"/>
    <w:rsid w:val="003222D0"/>
    <w:rsid w:val="00322478"/>
    <w:rsid w:val="00322569"/>
    <w:rsid w:val="00323477"/>
    <w:rsid w:val="00323529"/>
    <w:rsid w:val="00324089"/>
    <w:rsid w:val="00324DE9"/>
    <w:rsid w:val="0032533C"/>
    <w:rsid w:val="003256A3"/>
    <w:rsid w:val="00325BDF"/>
    <w:rsid w:val="003260DF"/>
    <w:rsid w:val="0032696D"/>
    <w:rsid w:val="00326D0A"/>
    <w:rsid w:val="003274FD"/>
    <w:rsid w:val="003300ED"/>
    <w:rsid w:val="00330E6C"/>
    <w:rsid w:val="003311BD"/>
    <w:rsid w:val="00331263"/>
    <w:rsid w:val="003317D5"/>
    <w:rsid w:val="00331F9A"/>
    <w:rsid w:val="00332F2F"/>
    <w:rsid w:val="0033428A"/>
    <w:rsid w:val="0033431A"/>
    <w:rsid w:val="003346BF"/>
    <w:rsid w:val="00335908"/>
    <w:rsid w:val="00336C01"/>
    <w:rsid w:val="0033741C"/>
    <w:rsid w:val="0034082F"/>
    <w:rsid w:val="0034196E"/>
    <w:rsid w:val="00343EB3"/>
    <w:rsid w:val="0034501B"/>
    <w:rsid w:val="00345318"/>
    <w:rsid w:val="0034648D"/>
    <w:rsid w:val="00346525"/>
    <w:rsid w:val="00346C8A"/>
    <w:rsid w:val="00347381"/>
    <w:rsid w:val="00347874"/>
    <w:rsid w:val="00347CE7"/>
    <w:rsid w:val="00350283"/>
    <w:rsid w:val="0035087C"/>
    <w:rsid w:val="00350D71"/>
    <w:rsid w:val="00351A83"/>
    <w:rsid w:val="00351C81"/>
    <w:rsid w:val="00352DA0"/>
    <w:rsid w:val="00352FEB"/>
    <w:rsid w:val="00353C56"/>
    <w:rsid w:val="0035431B"/>
    <w:rsid w:val="00355283"/>
    <w:rsid w:val="00355A67"/>
    <w:rsid w:val="00355C50"/>
    <w:rsid w:val="003568F2"/>
    <w:rsid w:val="0035691A"/>
    <w:rsid w:val="003569CA"/>
    <w:rsid w:val="00356F5E"/>
    <w:rsid w:val="0035734C"/>
    <w:rsid w:val="00357653"/>
    <w:rsid w:val="00357E17"/>
    <w:rsid w:val="003608B4"/>
    <w:rsid w:val="003612E8"/>
    <w:rsid w:val="003612EA"/>
    <w:rsid w:val="00361763"/>
    <w:rsid w:val="003618B8"/>
    <w:rsid w:val="00362C0E"/>
    <w:rsid w:val="0036316D"/>
    <w:rsid w:val="003637CF"/>
    <w:rsid w:val="00363966"/>
    <w:rsid w:val="00363AB0"/>
    <w:rsid w:val="0036420C"/>
    <w:rsid w:val="003642DB"/>
    <w:rsid w:val="00364E54"/>
    <w:rsid w:val="00366486"/>
    <w:rsid w:val="003669FF"/>
    <w:rsid w:val="00366CA5"/>
    <w:rsid w:val="00367E90"/>
    <w:rsid w:val="003704DD"/>
    <w:rsid w:val="0037067A"/>
    <w:rsid w:val="00371A7B"/>
    <w:rsid w:val="00372752"/>
    <w:rsid w:val="00372789"/>
    <w:rsid w:val="003728F3"/>
    <w:rsid w:val="00372A06"/>
    <w:rsid w:val="00372CB4"/>
    <w:rsid w:val="00373487"/>
    <w:rsid w:val="00373A47"/>
    <w:rsid w:val="00373C06"/>
    <w:rsid w:val="00373D3D"/>
    <w:rsid w:val="00373F43"/>
    <w:rsid w:val="0037436E"/>
    <w:rsid w:val="00374A57"/>
    <w:rsid w:val="003756E9"/>
    <w:rsid w:val="00375779"/>
    <w:rsid w:val="00375BA5"/>
    <w:rsid w:val="00375E53"/>
    <w:rsid w:val="00377077"/>
    <w:rsid w:val="00377A91"/>
    <w:rsid w:val="003803F3"/>
    <w:rsid w:val="00380962"/>
    <w:rsid w:val="003809B4"/>
    <w:rsid w:val="00380BCA"/>
    <w:rsid w:val="00380F48"/>
    <w:rsid w:val="0038171C"/>
    <w:rsid w:val="00381ABC"/>
    <w:rsid w:val="00381E33"/>
    <w:rsid w:val="003824DE"/>
    <w:rsid w:val="00382B58"/>
    <w:rsid w:val="00382CA3"/>
    <w:rsid w:val="00383212"/>
    <w:rsid w:val="00383328"/>
    <w:rsid w:val="003839D7"/>
    <w:rsid w:val="0038480A"/>
    <w:rsid w:val="00384C49"/>
    <w:rsid w:val="003854E9"/>
    <w:rsid w:val="0038638A"/>
    <w:rsid w:val="0038647C"/>
    <w:rsid w:val="00386E5B"/>
    <w:rsid w:val="00390715"/>
    <w:rsid w:val="0039088E"/>
    <w:rsid w:val="00391D54"/>
    <w:rsid w:val="003922F2"/>
    <w:rsid w:val="0039290B"/>
    <w:rsid w:val="00392EBD"/>
    <w:rsid w:val="00392F65"/>
    <w:rsid w:val="00393334"/>
    <w:rsid w:val="003933D0"/>
    <w:rsid w:val="003934CC"/>
    <w:rsid w:val="00393910"/>
    <w:rsid w:val="00393BCB"/>
    <w:rsid w:val="003940B5"/>
    <w:rsid w:val="003941A2"/>
    <w:rsid w:val="003949AF"/>
    <w:rsid w:val="003949F1"/>
    <w:rsid w:val="00394B41"/>
    <w:rsid w:val="00394B97"/>
    <w:rsid w:val="00395A93"/>
    <w:rsid w:val="00395CBB"/>
    <w:rsid w:val="00396039"/>
    <w:rsid w:val="0039655F"/>
    <w:rsid w:val="00396CAB"/>
    <w:rsid w:val="00397407"/>
    <w:rsid w:val="003976E4"/>
    <w:rsid w:val="00397720"/>
    <w:rsid w:val="003978AB"/>
    <w:rsid w:val="003A0ACF"/>
    <w:rsid w:val="003A0C3A"/>
    <w:rsid w:val="003A10BE"/>
    <w:rsid w:val="003A1302"/>
    <w:rsid w:val="003A15E6"/>
    <w:rsid w:val="003A1634"/>
    <w:rsid w:val="003A1C7D"/>
    <w:rsid w:val="003A1FE3"/>
    <w:rsid w:val="003A1FFF"/>
    <w:rsid w:val="003A2149"/>
    <w:rsid w:val="003A2231"/>
    <w:rsid w:val="003A24FA"/>
    <w:rsid w:val="003A2506"/>
    <w:rsid w:val="003A26FB"/>
    <w:rsid w:val="003A2B3B"/>
    <w:rsid w:val="003A39F3"/>
    <w:rsid w:val="003A3B50"/>
    <w:rsid w:val="003A3DEC"/>
    <w:rsid w:val="003A5574"/>
    <w:rsid w:val="003A5899"/>
    <w:rsid w:val="003A5BC4"/>
    <w:rsid w:val="003A5D20"/>
    <w:rsid w:val="003A5EE9"/>
    <w:rsid w:val="003A6E78"/>
    <w:rsid w:val="003A71A5"/>
    <w:rsid w:val="003A7370"/>
    <w:rsid w:val="003A73DD"/>
    <w:rsid w:val="003A7C88"/>
    <w:rsid w:val="003B00F9"/>
    <w:rsid w:val="003B0174"/>
    <w:rsid w:val="003B0775"/>
    <w:rsid w:val="003B167C"/>
    <w:rsid w:val="003B1B2C"/>
    <w:rsid w:val="003B227E"/>
    <w:rsid w:val="003B22E2"/>
    <w:rsid w:val="003B2A5B"/>
    <w:rsid w:val="003B30BD"/>
    <w:rsid w:val="003B3208"/>
    <w:rsid w:val="003B3223"/>
    <w:rsid w:val="003B32EA"/>
    <w:rsid w:val="003B334E"/>
    <w:rsid w:val="003B33B3"/>
    <w:rsid w:val="003B343F"/>
    <w:rsid w:val="003B3FCC"/>
    <w:rsid w:val="003B4001"/>
    <w:rsid w:val="003B4710"/>
    <w:rsid w:val="003B4769"/>
    <w:rsid w:val="003B487C"/>
    <w:rsid w:val="003B49F2"/>
    <w:rsid w:val="003B527C"/>
    <w:rsid w:val="003B59D8"/>
    <w:rsid w:val="003B59E4"/>
    <w:rsid w:val="003B5DAA"/>
    <w:rsid w:val="003B6036"/>
    <w:rsid w:val="003B6A6F"/>
    <w:rsid w:val="003B6CA6"/>
    <w:rsid w:val="003B75B9"/>
    <w:rsid w:val="003B7664"/>
    <w:rsid w:val="003B776D"/>
    <w:rsid w:val="003B7CFE"/>
    <w:rsid w:val="003C0257"/>
    <w:rsid w:val="003C04B7"/>
    <w:rsid w:val="003C09C1"/>
    <w:rsid w:val="003C0C5B"/>
    <w:rsid w:val="003C10F3"/>
    <w:rsid w:val="003C1614"/>
    <w:rsid w:val="003C17E7"/>
    <w:rsid w:val="003C27EC"/>
    <w:rsid w:val="003C2F32"/>
    <w:rsid w:val="003C3241"/>
    <w:rsid w:val="003C3C83"/>
    <w:rsid w:val="003C420D"/>
    <w:rsid w:val="003C4EB8"/>
    <w:rsid w:val="003C5409"/>
    <w:rsid w:val="003C5D7D"/>
    <w:rsid w:val="003C6443"/>
    <w:rsid w:val="003C7070"/>
    <w:rsid w:val="003C7344"/>
    <w:rsid w:val="003C7C6C"/>
    <w:rsid w:val="003C7DAA"/>
    <w:rsid w:val="003D039D"/>
    <w:rsid w:val="003D053B"/>
    <w:rsid w:val="003D0E27"/>
    <w:rsid w:val="003D1ED4"/>
    <w:rsid w:val="003D2742"/>
    <w:rsid w:val="003D290C"/>
    <w:rsid w:val="003D2BE8"/>
    <w:rsid w:val="003D3FC4"/>
    <w:rsid w:val="003D43A1"/>
    <w:rsid w:val="003D4757"/>
    <w:rsid w:val="003D4C69"/>
    <w:rsid w:val="003D50D2"/>
    <w:rsid w:val="003D563B"/>
    <w:rsid w:val="003D5BE1"/>
    <w:rsid w:val="003D5D24"/>
    <w:rsid w:val="003D611B"/>
    <w:rsid w:val="003D6DF0"/>
    <w:rsid w:val="003E001A"/>
    <w:rsid w:val="003E0BF6"/>
    <w:rsid w:val="003E0EF7"/>
    <w:rsid w:val="003E16C2"/>
    <w:rsid w:val="003E1816"/>
    <w:rsid w:val="003E1874"/>
    <w:rsid w:val="003E1E32"/>
    <w:rsid w:val="003E1F06"/>
    <w:rsid w:val="003E2116"/>
    <w:rsid w:val="003E219F"/>
    <w:rsid w:val="003E24E9"/>
    <w:rsid w:val="003E2B3D"/>
    <w:rsid w:val="003E2E29"/>
    <w:rsid w:val="003E3F41"/>
    <w:rsid w:val="003E441A"/>
    <w:rsid w:val="003E5ABD"/>
    <w:rsid w:val="003E6012"/>
    <w:rsid w:val="003E6529"/>
    <w:rsid w:val="003E67BB"/>
    <w:rsid w:val="003E6D96"/>
    <w:rsid w:val="003E70E5"/>
    <w:rsid w:val="003E7590"/>
    <w:rsid w:val="003E7CCD"/>
    <w:rsid w:val="003E7E8D"/>
    <w:rsid w:val="003F0220"/>
    <w:rsid w:val="003F084E"/>
    <w:rsid w:val="003F08E5"/>
    <w:rsid w:val="003F1A15"/>
    <w:rsid w:val="003F1D52"/>
    <w:rsid w:val="003F1F28"/>
    <w:rsid w:val="003F23FE"/>
    <w:rsid w:val="003F3109"/>
    <w:rsid w:val="003F3A60"/>
    <w:rsid w:val="003F47A8"/>
    <w:rsid w:val="003F47C1"/>
    <w:rsid w:val="003F47E8"/>
    <w:rsid w:val="003F4ABC"/>
    <w:rsid w:val="003F50FE"/>
    <w:rsid w:val="003F52A7"/>
    <w:rsid w:val="003F52AE"/>
    <w:rsid w:val="003F56F4"/>
    <w:rsid w:val="003F5803"/>
    <w:rsid w:val="003F59A3"/>
    <w:rsid w:val="003F5EDE"/>
    <w:rsid w:val="003F60DD"/>
    <w:rsid w:val="003F635B"/>
    <w:rsid w:val="003F697C"/>
    <w:rsid w:val="003F6AE0"/>
    <w:rsid w:val="003F74A8"/>
    <w:rsid w:val="003F784E"/>
    <w:rsid w:val="003F7FAA"/>
    <w:rsid w:val="0040023A"/>
    <w:rsid w:val="00400F32"/>
    <w:rsid w:val="0040235E"/>
    <w:rsid w:val="004029C5"/>
    <w:rsid w:val="00402AB1"/>
    <w:rsid w:val="004039B5"/>
    <w:rsid w:val="00403A2B"/>
    <w:rsid w:val="00407019"/>
    <w:rsid w:val="00407382"/>
    <w:rsid w:val="004073D8"/>
    <w:rsid w:val="0040758C"/>
    <w:rsid w:val="0041028F"/>
    <w:rsid w:val="0041045A"/>
    <w:rsid w:val="00410EBD"/>
    <w:rsid w:val="00411099"/>
    <w:rsid w:val="004116FE"/>
    <w:rsid w:val="0041244D"/>
    <w:rsid w:val="00412FA1"/>
    <w:rsid w:val="004146EA"/>
    <w:rsid w:val="004148CE"/>
    <w:rsid w:val="00414B06"/>
    <w:rsid w:val="00414E87"/>
    <w:rsid w:val="00414F4D"/>
    <w:rsid w:val="004156B1"/>
    <w:rsid w:val="00415EF3"/>
    <w:rsid w:val="00416526"/>
    <w:rsid w:val="0041699C"/>
    <w:rsid w:val="00417059"/>
    <w:rsid w:val="00417C31"/>
    <w:rsid w:val="0042052F"/>
    <w:rsid w:val="00421538"/>
    <w:rsid w:val="0042198B"/>
    <w:rsid w:val="0042209A"/>
    <w:rsid w:val="00422331"/>
    <w:rsid w:val="00422703"/>
    <w:rsid w:val="004236E7"/>
    <w:rsid w:val="00423A55"/>
    <w:rsid w:val="004244E8"/>
    <w:rsid w:val="004244F4"/>
    <w:rsid w:val="00424659"/>
    <w:rsid w:val="004246F8"/>
    <w:rsid w:val="004247A5"/>
    <w:rsid w:val="0042485F"/>
    <w:rsid w:val="004249F4"/>
    <w:rsid w:val="0042510A"/>
    <w:rsid w:val="00425194"/>
    <w:rsid w:val="00425203"/>
    <w:rsid w:val="00426999"/>
    <w:rsid w:val="00426B3A"/>
    <w:rsid w:val="004272CD"/>
    <w:rsid w:val="0042745B"/>
    <w:rsid w:val="004279C5"/>
    <w:rsid w:val="004301DF"/>
    <w:rsid w:val="00430390"/>
    <w:rsid w:val="00430C7A"/>
    <w:rsid w:val="0043117A"/>
    <w:rsid w:val="00431B9B"/>
    <w:rsid w:val="00431C17"/>
    <w:rsid w:val="00431EBE"/>
    <w:rsid w:val="00432591"/>
    <w:rsid w:val="004326D1"/>
    <w:rsid w:val="00432A98"/>
    <w:rsid w:val="00432CE3"/>
    <w:rsid w:val="00432FC7"/>
    <w:rsid w:val="0043309B"/>
    <w:rsid w:val="00433620"/>
    <w:rsid w:val="00433A4E"/>
    <w:rsid w:val="00433FE3"/>
    <w:rsid w:val="00434113"/>
    <w:rsid w:val="00434478"/>
    <w:rsid w:val="00435492"/>
    <w:rsid w:val="00435B82"/>
    <w:rsid w:val="00436F6A"/>
    <w:rsid w:val="00437408"/>
    <w:rsid w:val="004378ED"/>
    <w:rsid w:val="004379E3"/>
    <w:rsid w:val="00437BAB"/>
    <w:rsid w:val="00437F7C"/>
    <w:rsid w:val="0044008D"/>
    <w:rsid w:val="00440A53"/>
    <w:rsid w:val="0044113F"/>
    <w:rsid w:val="004428AE"/>
    <w:rsid w:val="00443BB4"/>
    <w:rsid w:val="00443F86"/>
    <w:rsid w:val="0044417D"/>
    <w:rsid w:val="004441DE"/>
    <w:rsid w:val="004449A8"/>
    <w:rsid w:val="00444A53"/>
    <w:rsid w:val="00444DB1"/>
    <w:rsid w:val="00445FCC"/>
    <w:rsid w:val="00447140"/>
    <w:rsid w:val="004479A2"/>
    <w:rsid w:val="004479CE"/>
    <w:rsid w:val="004479FC"/>
    <w:rsid w:val="00447C5C"/>
    <w:rsid w:val="0045017D"/>
    <w:rsid w:val="00450C6C"/>
    <w:rsid w:val="004510B4"/>
    <w:rsid w:val="00451AE7"/>
    <w:rsid w:val="00452482"/>
    <w:rsid w:val="004526D0"/>
    <w:rsid w:val="00452801"/>
    <w:rsid w:val="00452DDC"/>
    <w:rsid w:val="0045390F"/>
    <w:rsid w:val="00454155"/>
    <w:rsid w:val="004542F7"/>
    <w:rsid w:val="00454450"/>
    <w:rsid w:val="00454CA0"/>
    <w:rsid w:val="00454F24"/>
    <w:rsid w:val="00455C3C"/>
    <w:rsid w:val="00456A0E"/>
    <w:rsid w:val="00457238"/>
    <w:rsid w:val="0045787D"/>
    <w:rsid w:val="00457ADA"/>
    <w:rsid w:val="00457D23"/>
    <w:rsid w:val="00457EAE"/>
    <w:rsid w:val="004602B4"/>
    <w:rsid w:val="00460412"/>
    <w:rsid w:val="00460950"/>
    <w:rsid w:val="00460C65"/>
    <w:rsid w:val="00461F7F"/>
    <w:rsid w:val="00462250"/>
    <w:rsid w:val="00462486"/>
    <w:rsid w:val="0046275E"/>
    <w:rsid w:val="00462908"/>
    <w:rsid w:val="00462968"/>
    <w:rsid w:val="00462DBF"/>
    <w:rsid w:val="00462FE2"/>
    <w:rsid w:val="00463BDA"/>
    <w:rsid w:val="00464520"/>
    <w:rsid w:val="004646BF"/>
    <w:rsid w:val="0046575A"/>
    <w:rsid w:val="0046580B"/>
    <w:rsid w:val="00465D41"/>
    <w:rsid w:val="004661C1"/>
    <w:rsid w:val="00466493"/>
    <w:rsid w:val="00466B95"/>
    <w:rsid w:val="00466E68"/>
    <w:rsid w:val="00467FA9"/>
    <w:rsid w:val="004702D8"/>
    <w:rsid w:val="0047038B"/>
    <w:rsid w:val="00470A2F"/>
    <w:rsid w:val="00470B31"/>
    <w:rsid w:val="00470BED"/>
    <w:rsid w:val="00470C1B"/>
    <w:rsid w:val="00471477"/>
    <w:rsid w:val="004717EC"/>
    <w:rsid w:val="00472348"/>
    <w:rsid w:val="004726AB"/>
    <w:rsid w:val="00472A99"/>
    <w:rsid w:val="00472B53"/>
    <w:rsid w:val="00472DEB"/>
    <w:rsid w:val="00473053"/>
    <w:rsid w:val="0047326F"/>
    <w:rsid w:val="004733AC"/>
    <w:rsid w:val="00473E46"/>
    <w:rsid w:val="00473F7E"/>
    <w:rsid w:val="00473FFD"/>
    <w:rsid w:val="00475159"/>
    <w:rsid w:val="0047551E"/>
    <w:rsid w:val="00475550"/>
    <w:rsid w:val="00475763"/>
    <w:rsid w:val="00475ACA"/>
    <w:rsid w:val="0047612D"/>
    <w:rsid w:val="004766D4"/>
    <w:rsid w:val="00476AF5"/>
    <w:rsid w:val="00476E2E"/>
    <w:rsid w:val="0047725D"/>
    <w:rsid w:val="004772F2"/>
    <w:rsid w:val="004779D8"/>
    <w:rsid w:val="0048039B"/>
    <w:rsid w:val="0048045E"/>
    <w:rsid w:val="00480851"/>
    <w:rsid w:val="00480B07"/>
    <w:rsid w:val="00480C64"/>
    <w:rsid w:val="00480CA8"/>
    <w:rsid w:val="00480DD1"/>
    <w:rsid w:val="0048204F"/>
    <w:rsid w:val="004825E4"/>
    <w:rsid w:val="004825EC"/>
    <w:rsid w:val="00482CD1"/>
    <w:rsid w:val="00483967"/>
    <w:rsid w:val="00483A65"/>
    <w:rsid w:val="00483F17"/>
    <w:rsid w:val="0048481E"/>
    <w:rsid w:val="00484BA5"/>
    <w:rsid w:val="00485C46"/>
    <w:rsid w:val="00485CDA"/>
    <w:rsid w:val="00485E2F"/>
    <w:rsid w:val="00486C4B"/>
    <w:rsid w:val="00487913"/>
    <w:rsid w:val="004927DA"/>
    <w:rsid w:val="00492CB0"/>
    <w:rsid w:val="004932B9"/>
    <w:rsid w:val="00493D3D"/>
    <w:rsid w:val="00494324"/>
    <w:rsid w:val="0049536F"/>
    <w:rsid w:val="00495C1F"/>
    <w:rsid w:val="00496698"/>
    <w:rsid w:val="00497640"/>
    <w:rsid w:val="00497877"/>
    <w:rsid w:val="00497900"/>
    <w:rsid w:val="004979AB"/>
    <w:rsid w:val="00497CDE"/>
    <w:rsid w:val="004A0158"/>
    <w:rsid w:val="004A037B"/>
    <w:rsid w:val="004A0C90"/>
    <w:rsid w:val="004A1371"/>
    <w:rsid w:val="004A16C6"/>
    <w:rsid w:val="004A1E00"/>
    <w:rsid w:val="004A3008"/>
    <w:rsid w:val="004A31B3"/>
    <w:rsid w:val="004A382F"/>
    <w:rsid w:val="004A3DC4"/>
    <w:rsid w:val="004A4059"/>
    <w:rsid w:val="004A40C6"/>
    <w:rsid w:val="004A4C47"/>
    <w:rsid w:val="004A5E3D"/>
    <w:rsid w:val="004A66D1"/>
    <w:rsid w:val="004B0315"/>
    <w:rsid w:val="004B08AB"/>
    <w:rsid w:val="004B131D"/>
    <w:rsid w:val="004B1D62"/>
    <w:rsid w:val="004B2146"/>
    <w:rsid w:val="004B23A6"/>
    <w:rsid w:val="004B26F5"/>
    <w:rsid w:val="004B308A"/>
    <w:rsid w:val="004B339B"/>
    <w:rsid w:val="004B3434"/>
    <w:rsid w:val="004B39D9"/>
    <w:rsid w:val="004B4283"/>
    <w:rsid w:val="004B42A7"/>
    <w:rsid w:val="004B530A"/>
    <w:rsid w:val="004B6079"/>
    <w:rsid w:val="004B629A"/>
    <w:rsid w:val="004B649B"/>
    <w:rsid w:val="004B787E"/>
    <w:rsid w:val="004B7C6B"/>
    <w:rsid w:val="004C066A"/>
    <w:rsid w:val="004C1757"/>
    <w:rsid w:val="004C1777"/>
    <w:rsid w:val="004C1F59"/>
    <w:rsid w:val="004C21EE"/>
    <w:rsid w:val="004C267A"/>
    <w:rsid w:val="004C289F"/>
    <w:rsid w:val="004C2A39"/>
    <w:rsid w:val="004C394D"/>
    <w:rsid w:val="004C3A52"/>
    <w:rsid w:val="004C3B9C"/>
    <w:rsid w:val="004C3D55"/>
    <w:rsid w:val="004C4B85"/>
    <w:rsid w:val="004C51FE"/>
    <w:rsid w:val="004C5CA9"/>
    <w:rsid w:val="004C671A"/>
    <w:rsid w:val="004C6C22"/>
    <w:rsid w:val="004C6E4A"/>
    <w:rsid w:val="004C6FC7"/>
    <w:rsid w:val="004C7305"/>
    <w:rsid w:val="004C78DD"/>
    <w:rsid w:val="004C7980"/>
    <w:rsid w:val="004C7AC3"/>
    <w:rsid w:val="004C7F75"/>
    <w:rsid w:val="004D0090"/>
    <w:rsid w:val="004D0569"/>
    <w:rsid w:val="004D1810"/>
    <w:rsid w:val="004D1A83"/>
    <w:rsid w:val="004D26D0"/>
    <w:rsid w:val="004D2813"/>
    <w:rsid w:val="004D2AD1"/>
    <w:rsid w:val="004D3E74"/>
    <w:rsid w:val="004D3EC3"/>
    <w:rsid w:val="004D45DD"/>
    <w:rsid w:val="004D7554"/>
    <w:rsid w:val="004E0870"/>
    <w:rsid w:val="004E0A8B"/>
    <w:rsid w:val="004E0CF7"/>
    <w:rsid w:val="004E0D07"/>
    <w:rsid w:val="004E1264"/>
    <w:rsid w:val="004E15AC"/>
    <w:rsid w:val="004E2BFD"/>
    <w:rsid w:val="004E3D86"/>
    <w:rsid w:val="004E4830"/>
    <w:rsid w:val="004E4CB0"/>
    <w:rsid w:val="004E5B2C"/>
    <w:rsid w:val="004E6379"/>
    <w:rsid w:val="004E7E0C"/>
    <w:rsid w:val="004F0115"/>
    <w:rsid w:val="004F038C"/>
    <w:rsid w:val="004F03B5"/>
    <w:rsid w:val="004F0D26"/>
    <w:rsid w:val="004F1640"/>
    <w:rsid w:val="004F1AAA"/>
    <w:rsid w:val="004F1CC1"/>
    <w:rsid w:val="004F230C"/>
    <w:rsid w:val="004F36BC"/>
    <w:rsid w:val="004F370B"/>
    <w:rsid w:val="004F37CE"/>
    <w:rsid w:val="004F3883"/>
    <w:rsid w:val="004F3E2F"/>
    <w:rsid w:val="004F4280"/>
    <w:rsid w:val="004F430F"/>
    <w:rsid w:val="004F457A"/>
    <w:rsid w:val="004F47F8"/>
    <w:rsid w:val="004F4C37"/>
    <w:rsid w:val="004F4EAA"/>
    <w:rsid w:val="004F5B10"/>
    <w:rsid w:val="004F5C57"/>
    <w:rsid w:val="004F5F51"/>
    <w:rsid w:val="004F615F"/>
    <w:rsid w:val="004F63A9"/>
    <w:rsid w:val="004F63EA"/>
    <w:rsid w:val="004F732D"/>
    <w:rsid w:val="004F7925"/>
    <w:rsid w:val="00500185"/>
    <w:rsid w:val="00500B2B"/>
    <w:rsid w:val="005013F7"/>
    <w:rsid w:val="00501C82"/>
    <w:rsid w:val="00501D6F"/>
    <w:rsid w:val="00501EF6"/>
    <w:rsid w:val="00502115"/>
    <w:rsid w:val="005022E0"/>
    <w:rsid w:val="00502485"/>
    <w:rsid w:val="00502B01"/>
    <w:rsid w:val="005031DA"/>
    <w:rsid w:val="00504120"/>
    <w:rsid w:val="00504E6A"/>
    <w:rsid w:val="00506836"/>
    <w:rsid w:val="00506D10"/>
    <w:rsid w:val="0050740F"/>
    <w:rsid w:val="00507585"/>
    <w:rsid w:val="00511448"/>
    <w:rsid w:val="005114EE"/>
    <w:rsid w:val="0051179A"/>
    <w:rsid w:val="0051244B"/>
    <w:rsid w:val="00513407"/>
    <w:rsid w:val="0051559D"/>
    <w:rsid w:val="0051632B"/>
    <w:rsid w:val="00516B2A"/>
    <w:rsid w:val="00516C78"/>
    <w:rsid w:val="00516F72"/>
    <w:rsid w:val="005175B0"/>
    <w:rsid w:val="005175D0"/>
    <w:rsid w:val="0052092E"/>
    <w:rsid w:val="00520BC0"/>
    <w:rsid w:val="00521978"/>
    <w:rsid w:val="00521B62"/>
    <w:rsid w:val="00521CCE"/>
    <w:rsid w:val="005226FE"/>
    <w:rsid w:val="00522D66"/>
    <w:rsid w:val="00522E94"/>
    <w:rsid w:val="005230A3"/>
    <w:rsid w:val="00523C65"/>
    <w:rsid w:val="0052419C"/>
    <w:rsid w:val="00524267"/>
    <w:rsid w:val="0052464A"/>
    <w:rsid w:val="005251FB"/>
    <w:rsid w:val="00525469"/>
    <w:rsid w:val="005261D8"/>
    <w:rsid w:val="005268C7"/>
    <w:rsid w:val="00526B97"/>
    <w:rsid w:val="00527B35"/>
    <w:rsid w:val="0053038D"/>
    <w:rsid w:val="0053053B"/>
    <w:rsid w:val="00530597"/>
    <w:rsid w:val="00533885"/>
    <w:rsid w:val="00533E26"/>
    <w:rsid w:val="00534067"/>
    <w:rsid w:val="005343D2"/>
    <w:rsid w:val="005353DF"/>
    <w:rsid w:val="0053609E"/>
    <w:rsid w:val="00536B2C"/>
    <w:rsid w:val="00536B6F"/>
    <w:rsid w:val="00536C6B"/>
    <w:rsid w:val="005374F2"/>
    <w:rsid w:val="005379A6"/>
    <w:rsid w:val="005406CB"/>
    <w:rsid w:val="00540887"/>
    <w:rsid w:val="00540AED"/>
    <w:rsid w:val="00541C38"/>
    <w:rsid w:val="00542357"/>
    <w:rsid w:val="0054252D"/>
    <w:rsid w:val="00542535"/>
    <w:rsid w:val="00542A1D"/>
    <w:rsid w:val="00542E98"/>
    <w:rsid w:val="00543701"/>
    <w:rsid w:val="00544430"/>
    <w:rsid w:val="0054493D"/>
    <w:rsid w:val="00544BD3"/>
    <w:rsid w:val="00545D03"/>
    <w:rsid w:val="00546ACC"/>
    <w:rsid w:val="00546D14"/>
    <w:rsid w:val="005470D4"/>
    <w:rsid w:val="00547292"/>
    <w:rsid w:val="00547418"/>
    <w:rsid w:val="00547543"/>
    <w:rsid w:val="0054767B"/>
    <w:rsid w:val="0055019A"/>
    <w:rsid w:val="00550875"/>
    <w:rsid w:val="005510E4"/>
    <w:rsid w:val="00551516"/>
    <w:rsid w:val="00551804"/>
    <w:rsid w:val="00552370"/>
    <w:rsid w:val="00552723"/>
    <w:rsid w:val="005535A0"/>
    <w:rsid w:val="005536BD"/>
    <w:rsid w:val="005538AC"/>
    <w:rsid w:val="00553BBE"/>
    <w:rsid w:val="00553BF4"/>
    <w:rsid w:val="00553D60"/>
    <w:rsid w:val="00553EED"/>
    <w:rsid w:val="005543BF"/>
    <w:rsid w:val="00554475"/>
    <w:rsid w:val="00554871"/>
    <w:rsid w:val="00554B5A"/>
    <w:rsid w:val="00555C9B"/>
    <w:rsid w:val="005567E9"/>
    <w:rsid w:val="00556880"/>
    <w:rsid w:val="00556C57"/>
    <w:rsid w:val="00556D7C"/>
    <w:rsid w:val="005602F7"/>
    <w:rsid w:val="005603C8"/>
    <w:rsid w:val="005605A5"/>
    <w:rsid w:val="00560650"/>
    <w:rsid w:val="00560A79"/>
    <w:rsid w:val="00560B24"/>
    <w:rsid w:val="00560F05"/>
    <w:rsid w:val="00561552"/>
    <w:rsid w:val="0056161B"/>
    <w:rsid w:val="00561DFB"/>
    <w:rsid w:val="00562224"/>
    <w:rsid w:val="005622B1"/>
    <w:rsid w:val="0056268F"/>
    <w:rsid w:val="00562AEE"/>
    <w:rsid w:val="00562B5A"/>
    <w:rsid w:val="00563158"/>
    <w:rsid w:val="00563467"/>
    <w:rsid w:val="00564759"/>
    <w:rsid w:val="00564AA8"/>
    <w:rsid w:val="00564B91"/>
    <w:rsid w:val="00565597"/>
    <w:rsid w:val="00565996"/>
    <w:rsid w:val="00565A82"/>
    <w:rsid w:val="005672A0"/>
    <w:rsid w:val="0056765E"/>
    <w:rsid w:val="00567DA1"/>
    <w:rsid w:val="005707B7"/>
    <w:rsid w:val="005708CC"/>
    <w:rsid w:val="00570BEF"/>
    <w:rsid w:val="00571084"/>
    <w:rsid w:val="00571978"/>
    <w:rsid w:val="0057255A"/>
    <w:rsid w:val="0057288C"/>
    <w:rsid w:val="00572956"/>
    <w:rsid w:val="0057308F"/>
    <w:rsid w:val="005737D0"/>
    <w:rsid w:val="0057393D"/>
    <w:rsid w:val="00573D86"/>
    <w:rsid w:val="005747AA"/>
    <w:rsid w:val="00574FF8"/>
    <w:rsid w:val="00575217"/>
    <w:rsid w:val="0057597A"/>
    <w:rsid w:val="005760F2"/>
    <w:rsid w:val="005762F4"/>
    <w:rsid w:val="00576F69"/>
    <w:rsid w:val="0057734A"/>
    <w:rsid w:val="00577A6F"/>
    <w:rsid w:val="00577AA3"/>
    <w:rsid w:val="00577C55"/>
    <w:rsid w:val="00577E0F"/>
    <w:rsid w:val="0058000A"/>
    <w:rsid w:val="00582379"/>
    <w:rsid w:val="00582476"/>
    <w:rsid w:val="00582722"/>
    <w:rsid w:val="00582760"/>
    <w:rsid w:val="005827D9"/>
    <w:rsid w:val="00582B67"/>
    <w:rsid w:val="00582E71"/>
    <w:rsid w:val="0058352C"/>
    <w:rsid w:val="00583637"/>
    <w:rsid w:val="00583756"/>
    <w:rsid w:val="00583841"/>
    <w:rsid w:val="005838EF"/>
    <w:rsid w:val="00583B8D"/>
    <w:rsid w:val="00583D20"/>
    <w:rsid w:val="00583FD6"/>
    <w:rsid w:val="0058401D"/>
    <w:rsid w:val="00584E35"/>
    <w:rsid w:val="00584EA3"/>
    <w:rsid w:val="005868C1"/>
    <w:rsid w:val="00586917"/>
    <w:rsid w:val="005906BF"/>
    <w:rsid w:val="00590A94"/>
    <w:rsid w:val="00591369"/>
    <w:rsid w:val="005919C5"/>
    <w:rsid w:val="0059285B"/>
    <w:rsid w:val="00592A7F"/>
    <w:rsid w:val="005934C5"/>
    <w:rsid w:val="005938F4"/>
    <w:rsid w:val="00593A69"/>
    <w:rsid w:val="00593AD4"/>
    <w:rsid w:val="00593CE4"/>
    <w:rsid w:val="00593E6C"/>
    <w:rsid w:val="00594890"/>
    <w:rsid w:val="005949E4"/>
    <w:rsid w:val="00595619"/>
    <w:rsid w:val="005956DF"/>
    <w:rsid w:val="00596016"/>
    <w:rsid w:val="005961E5"/>
    <w:rsid w:val="00596379"/>
    <w:rsid w:val="005963D3"/>
    <w:rsid w:val="005966F8"/>
    <w:rsid w:val="00596950"/>
    <w:rsid w:val="00596CF0"/>
    <w:rsid w:val="0059712E"/>
    <w:rsid w:val="00597BEB"/>
    <w:rsid w:val="005A0364"/>
    <w:rsid w:val="005A0E69"/>
    <w:rsid w:val="005A14E5"/>
    <w:rsid w:val="005A1E06"/>
    <w:rsid w:val="005A2623"/>
    <w:rsid w:val="005A2FBE"/>
    <w:rsid w:val="005A3638"/>
    <w:rsid w:val="005A3970"/>
    <w:rsid w:val="005A3B90"/>
    <w:rsid w:val="005A4463"/>
    <w:rsid w:val="005A4682"/>
    <w:rsid w:val="005A51FA"/>
    <w:rsid w:val="005A5862"/>
    <w:rsid w:val="005A6077"/>
    <w:rsid w:val="005A6B83"/>
    <w:rsid w:val="005A773E"/>
    <w:rsid w:val="005A7B87"/>
    <w:rsid w:val="005B072C"/>
    <w:rsid w:val="005B144D"/>
    <w:rsid w:val="005B2818"/>
    <w:rsid w:val="005B2E3C"/>
    <w:rsid w:val="005B32C3"/>
    <w:rsid w:val="005B37E9"/>
    <w:rsid w:val="005B460F"/>
    <w:rsid w:val="005B4E06"/>
    <w:rsid w:val="005B5190"/>
    <w:rsid w:val="005B52F5"/>
    <w:rsid w:val="005B5A05"/>
    <w:rsid w:val="005B5F55"/>
    <w:rsid w:val="005B6959"/>
    <w:rsid w:val="005B706C"/>
    <w:rsid w:val="005C0A7D"/>
    <w:rsid w:val="005C0B41"/>
    <w:rsid w:val="005C0D5D"/>
    <w:rsid w:val="005C10ED"/>
    <w:rsid w:val="005C12E8"/>
    <w:rsid w:val="005C202D"/>
    <w:rsid w:val="005C24A4"/>
    <w:rsid w:val="005C2ADA"/>
    <w:rsid w:val="005C3283"/>
    <w:rsid w:val="005C3288"/>
    <w:rsid w:val="005C37F9"/>
    <w:rsid w:val="005C38C2"/>
    <w:rsid w:val="005C3915"/>
    <w:rsid w:val="005C3A05"/>
    <w:rsid w:val="005C3CAE"/>
    <w:rsid w:val="005C3DFF"/>
    <w:rsid w:val="005C4C5F"/>
    <w:rsid w:val="005C551F"/>
    <w:rsid w:val="005C5524"/>
    <w:rsid w:val="005C644E"/>
    <w:rsid w:val="005C658A"/>
    <w:rsid w:val="005C69E3"/>
    <w:rsid w:val="005C7336"/>
    <w:rsid w:val="005C76EE"/>
    <w:rsid w:val="005C7C3F"/>
    <w:rsid w:val="005C7E7B"/>
    <w:rsid w:val="005C7FDD"/>
    <w:rsid w:val="005D008E"/>
    <w:rsid w:val="005D02D9"/>
    <w:rsid w:val="005D0942"/>
    <w:rsid w:val="005D119F"/>
    <w:rsid w:val="005D1866"/>
    <w:rsid w:val="005D1D5D"/>
    <w:rsid w:val="005D25AE"/>
    <w:rsid w:val="005D27E3"/>
    <w:rsid w:val="005D3E2C"/>
    <w:rsid w:val="005D40A3"/>
    <w:rsid w:val="005D4708"/>
    <w:rsid w:val="005D4A93"/>
    <w:rsid w:val="005D4CAD"/>
    <w:rsid w:val="005D4FD4"/>
    <w:rsid w:val="005D545A"/>
    <w:rsid w:val="005D575F"/>
    <w:rsid w:val="005D5F19"/>
    <w:rsid w:val="005D62CE"/>
    <w:rsid w:val="005D649D"/>
    <w:rsid w:val="005E01E3"/>
    <w:rsid w:val="005E029C"/>
    <w:rsid w:val="005E1323"/>
    <w:rsid w:val="005E214C"/>
    <w:rsid w:val="005E2238"/>
    <w:rsid w:val="005E22A5"/>
    <w:rsid w:val="005E275C"/>
    <w:rsid w:val="005E2B24"/>
    <w:rsid w:val="005E2CA2"/>
    <w:rsid w:val="005E3F02"/>
    <w:rsid w:val="005E4604"/>
    <w:rsid w:val="005E4B0F"/>
    <w:rsid w:val="005E5964"/>
    <w:rsid w:val="005E59BD"/>
    <w:rsid w:val="005E5C14"/>
    <w:rsid w:val="005E5D3E"/>
    <w:rsid w:val="005E60DE"/>
    <w:rsid w:val="005E6273"/>
    <w:rsid w:val="005E6F3D"/>
    <w:rsid w:val="005E7084"/>
    <w:rsid w:val="005E72F7"/>
    <w:rsid w:val="005E766A"/>
    <w:rsid w:val="005E7947"/>
    <w:rsid w:val="005F06E1"/>
    <w:rsid w:val="005F155C"/>
    <w:rsid w:val="005F23AF"/>
    <w:rsid w:val="005F246A"/>
    <w:rsid w:val="005F2880"/>
    <w:rsid w:val="005F2B07"/>
    <w:rsid w:val="005F2E1E"/>
    <w:rsid w:val="005F33B9"/>
    <w:rsid w:val="005F3FF6"/>
    <w:rsid w:val="005F432C"/>
    <w:rsid w:val="005F455E"/>
    <w:rsid w:val="005F49DF"/>
    <w:rsid w:val="005F4A59"/>
    <w:rsid w:val="005F4CB1"/>
    <w:rsid w:val="005F5C2B"/>
    <w:rsid w:val="005F6494"/>
    <w:rsid w:val="005F6D8E"/>
    <w:rsid w:val="005F73DC"/>
    <w:rsid w:val="005F7503"/>
    <w:rsid w:val="005F77F4"/>
    <w:rsid w:val="006000FF"/>
    <w:rsid w:val="0060078F"/>
    <w:rsid w:val="00600AEF"/>
    <w:rsid w:val="0060103A"/>
    <w:rsid w:val="006010B7"/>
    <w:rsid w:val="006012E3"/>
    <w:rsid w:val="0060134E"/>
    <w:rsid w:val="006022DE"/>
    <w:rsid w:val="00602C8C"/>
    <w:rsid w:val="00602CC2"/>
    <w:rsid w:val="0060392E"/>
    <w:rsid w:val="0060436B"/>
    <w:rsid w:val="006044CB"/>
    <w:rsid w:val="00604F25"/>
    <w:rsid w:val="0060520D"/>
    <w:rsid w:val="00606290"/>
    <w:rsid w:val="00607594"/>
    <w:rsid w:val="00607820"/>
    <w:rsid w:val="00607BB8"/>
    <w:rsid w:val="006107CF"/>
    <w:rsid w:val="006114E6"/>
    <w:rsid w:val="006118D6"/>
    <w:rsid w:val="00612034"/>
    <w:rsid w:val="006123AB"/>
    <w:rsid w:val="0061274E"/>
    <w:rsid w:val="006128DD"/>
    <w:rsid w:val="00612B0E"/>
    <w:rsid w:val="00612E7C"/>
    <w:rsid w:val="006130DD"/>
    <w:rsid w:val="0061382B"/>
    <w:rsid w:val="00613D5B"/>
    <w:rsid w:val="00614552"/>
    <w:rsid w:val="00614B1C"/>
    <w:rsid w:val="00615942"/>
    <w:rsid w:val="0061608D"/>
    <w:rsid w:val="00616401"/>
    <w:rsid w:val="00616A39"/>
    <w:rsid w:val="006171F3"/>
    <w:rsid w:val="006174C4"/>
    <w:rsid w:val="00617872"/>
    <w:rsid w:val="00617F53"/>
    <w:rsid w:val="00620561"/>
    <w:rsid w:val="0062102E"/>
    <w:rsid w:val="00621067"/>
    <w:rsid w:val="006217F8"/>
    <w:rsid w:val="0062181E"/>
    <w:rsid w:val="006220E2"/>
    <w:rsid w:val="00622DBD"/>
    <w:rsid w:val="006231F5"/>
    <w:rsid w:val="0062371A"/>
    <w:rsid w:val="0062381E"/>
    <w:rsid w:val="00623E69"/>
    <w:rsid w:val="00624041"/>
    <w:rsid w:val="0062536D"/>
    <w:rsid w:val="00625943"/>
    <w:rsid w:val="00625A2F"/>
    <w:rsid w:val="00625CE3"/>
    <w:rsid w:val="0062631C"/>
    <w:rsid w:val="00626DA6"/>
    <w:rsid w:val="00626F65"/>
    <w:rsid w:val="006274B4"/>
    <w:rsid w:val="00627757"/>
    <w:rsid w:val="00627EA8"/>
    <w:rsid w:val="0063019B"/>
    <w:rsid w:val="006301C3"/>
    <w:rsid w:val="006309C0"/>
    <w:rsid w:val="00630AD6"/>
    <w:rsid w:val="00630B41"/>
    <w:rsid w:val="00630E8B"/>
    <w:rsid w:val="006316D9"/>
    <w:rsid w:val="006319F9"/>
    <w:rsid w:val="00631D9B"/>
    <w:rsid w:val="00632AF1"/>
    <w:rsid w:val="00632E77"/>
    <w:rsid w:val="006330D8"/>
    <w:rsid w:val="006332BC"/>
    <w:rsid w:val="006335DD"/>
    <w:rsid w:val="006336D8"/>
    <w:rsid w:val="006336FB"/>
    <w:rsid w:val="00633B76"/>
    <w:rsid w:val="00633B90"/>
    <w:rsid w:val="006342AC"/>
    <w:rsid w:val="00634756"/>
    <w:rsid w:val="00634E4B"/>
    <w:rsid w:val="00634F78"/>
    <w:rsid w:val="00635B23"/>
    <w:rsid w:val="006364A7"/>
    <w:rsid w:val="00637466"/>
    <w:rsid w:val="0064079B"/>
    <w:rsid w:val="00641090"/>
    <w:rsid w:val="006410C0"/>
    <w:rsid w:val="0064178C"/>
    <w:rsid w:val="00642A93"/>
    <w:rsid w:val="00642EA5"/>
    <w:rsid w:val="00642EF6"/>
    <w:rsid w:val="00643137"/>
    <w:rsid w:val="0064352F"/>
    <w:rsid w:val="00644717"/>
    <w:rsid w:val="00644905"/>
    <w:rsid w:val="00644A96"/>
    <w:rsid w:val="006454DB"/>
    <w:rsid w:val="00646007"/>
    <w:rsid w:val="0064611B"/>
    <w:rsid w:val="00646540"/>
    <w:rsid w:val="00646B4F"/>
    <w:rsid w:val="0064755D"/>
    <w:rsid w:val="00647C9F"/>
    <w:rsid w:val="00647CFB"/>
    <w:rsid w:val="006502B6"/>
    <w:rsid w:val="006503E3"/>
    <w:rsid w:val="00650463"/>
    <w:rsid w:val="00650B59"/>
    <w:rsid w:val="006514FE"/>
    <w:rsid w:val="00651818"/>
    <w:rsid w:val="00651A42"/>
    <w:rsid w:val="00652467"/>
    <w:rsid w:val="00652992"/>
    <w:rsid w:val="00652CB2"/>
    <w:rsid w:val="0065326F"/>
    <w:rsid w:val="0065336D"/>
    <w:rsid w:val="006536A2"/>
    <w:rsid w:val="0065383A"/>
    <w:rsid w:val="00654E80"/>
    <w:rsid w:val="006552CF"/>
    <w:rsid w:val="00655504"/>
    <w:rsid w:val="006556C9"/>
    <w:rsid w:val="00655A33"/>
    <w:rsid w:val="00655D21"/>
    <w:rsid w:val="00657121"/>
    <w:rsid w:val="00657C6F"/>
    <w:rsid w:val="0066006E"/>
    <w:rsid w:val="0066090E"/>
    <w:rsid w:val="00661B1A"/>
    <w:rsid w:val="00662345"/>
    <w:rsid w:val="00662F15"/>
    <w:rsid w:val="00663375"/>
    <w:rsid w:val="00663C98"/>
    <w:rsid w:val="00664A36"/>
    <w:rsid w:val="00665AD5"/>
    <w:rsid w:val="00665E69"/>
    <w:rsid w:val="00666225"/>
    <w:rsid w:val="00666367"/>
    <w:rsid w:val="00666DBF"/>
    <w:rsid w:val="00667381"/>
    <w:rsid w:val="006673DF"/>
    <w:rsid w:val="00667D06"/>
    <w:rsid w:val="00670925"/>
    <w:rsid w:val="00671230"/>
    <w:rsid w:val="006713F2"/>
    <w:rsid w:val="00671DE9"/>
    <w:rsid w:val="00671EE8"/>
    <w:rsid w:val="0067366F"/>
    <w:rsid w:val="00673A93"/>
    <w:rsid w:val="00673DD8"/>
    <w:rsid w:val="00673FA2"/>
    <w:rsid w:val="006740FA"/>
    <w:rsid w:val="006742F6"/>
    <w:rsid w:val="00674876"/>
    <w:rsid w:val="0067488C"/>
    <w:rsid w:val="00675089"/>
    <w:rsid w:val="006750A2"/>
    <w:rsid w:val="00675488"/>
    <w:rsid w:val="00675973"/>
    <w:rsid w:val="006761F5"/>
    <w:rsid w:val="00676641"/>
    <w:rsid w:val="00676B8F"/>
    <w:rsid w:val="00676C5E"/>
    <w:rsid w:val="00676CE7"/>
    <w:rsid w:val="006773B2"/>
    <w:rsid w:val="00677607"/>
    <w:rsid w:val="00677C9A"/>
    <w:rsid w:val="00677FBB"/>
    <w:rsid w:val="0068007C"/>
    <w:rsid w:val="0068049F"/>
    <w:rsid w:val="006808A5"/>
    <w:rsid w:val="006810E3"/>
    <w:rsid w:val="006817BD"/>
    <w:rsid w:val="00682324"/>
    <w:rsid w:val="00682AE9"/>
    <w:rsid w:val="00683121"/>
    <w:rsid w:val="00683387"/>
    <w:rsid w:val="0068363B"/>
    <w:rsid w:val="00683921"/>
    <w:rsid w:val="00683E78"/>
    <w:rsid w:val="006849C8"/>
    <w:rsid w:val="00684A69"/>
    <w:rsid w:val="00684E90"/>
    <w:rsid w:val="0068514C"/>
    <w:rsid w:val="006859F9"/>
    <w:rsid w:val="00685BE5"/>
    <w:rsid w:val="00686CA0"/>
    <w:rsid w:val="0068755C"/>
    <w:rsid w:val="006877FC"/>
    <w:rsid w:val="00687978"/>
    <w:rsid w:val="006879F7"/>
    <w:rsid w:val="00691A6B"/>
    <w:rsid w:val="00691B48"/>
    <w:rsid w:val="006923FD"/>
    <w:rsid w:val="00692BC1"/>
    <w:rsid w:val="00692E78"/>
    <w:rsid w:val="0069356C"/>
    <w:rsid w:val="00693ABE"/>
    <w:rsid w:val="00693DC1"/>
    <w:rsid w:val="006940BC"/>
    <w:rsid w:val="00694972"/>
    <w:rsid w:val="00695292"/>
    <w:rsid w:val="00695B9B"/>
    <w:rsid w:val="0069612C"/>
    <w:rsid w:val="006961F5"/>
    <w:rsid w:val="006966F1"/>
    <w:rsid w:val="00697C18"/>
    <w:rsid w:val="006A0096"/>
    <w:rsid w:val="006A14D9"/>
    <w:rsid w:val="006A15D5"/>
    <w:rsid w:val="006A19A4"/>
    <w:rsid w:val="006A1FA1"/>
    <w:rsid w:val="006A200B"/>
    <w:rsid w:val="006A2176"/>
    <w:rsid w:val="006A22BA"/>
    <w:rsid w:val="006A3828"/>
    <w:rsid w:val="006A3AFA"/>
    <w:rsid w:val="006A3EAB"/>
    <w:rsid w:val="006A44C3"/>
    <w:rsid w:val="006A48FA"/>
    <w:rsid w:val="006A5282"/>
    <w:rsid w:val="006A599C"/>
    <w:rsid w:val="006A59D1"/>
    <w:rsid w:val="006A5A00"/>
    <w:rsid w:val="006A5F0F"/>
    <w:rsid w:val="006A6126"/>
    <w:rsid w:val="006A67BA"/>
    <w:rsid w:val="006A692C"/>
    <w:rsid w:val="006A739E"/>
    <w:rsid w:val="006A78E8"/>
    <w:rsid w:val="006B0A0F"/>
    <w:rsid w:val="006B1FBC"/>
    <w:rsid w:val="006B21D3"/>
    <w:rsid w:val="006B22D1"/>
    <w:rsid w:val="006B2662"/>
    <w:rsid w:val="006B2D47"/>
    <w:rsid w:val="006B437C"/>
    <w:rsid w:val="006B44BB"/>
    <w:rsid w:val="006B5109"/>
    <w:rsid w:val="006B51EB"/>
    <w:rsid w:val="006B51FA"/>
    <w:rsid w:val="006B5487"/>
    <w:rsid w:val="006B57B6"/>
    <w:rsid w:val="006B57C4"/>
    <w:rsid w:val="006B6276"/>
    <w:rsid w:val="006B6584"/>
    <w:rsid w:val="006B727A"/>
    <w:rsid w:val="006B74F1"/>
    <w:rsid w:val="006B7934"/>
    <w:rsid w:val="006B7C4F"/>
    <w:rsid w:val="006B7C90"/>
    <w:rsid w:val="006C0192"/>
    <w:rsid w:val="006C0837"/>
    <w:rsid w:val="006C13FC"/>
    <w:rsid w:val="006C1B10"/>
    <w:rsid w:val="006C1F59"/>
    <w:rsid w:val="006C20F3"/>
    <w:rsid w:val="006C22AC"/>
    <w:rsid w:val="006C27DB"/>
    <w:rsid w:val="006C2808"/>
    <w:rsid w:val="006C29CB"/>
    <w:rsid w:val="006C3217"/>
    <w:rsid w:val="006C33BE"/>
    <w:rsid w:val="006C3C3E"/>
    <w:rsid w:val="006C44BB"/>
    <w:rsid w:val="006C4791"/>
    <w:rsid w:val="006C494E"/>
    <w:rsid w:val="006C4C9C"/>
    <w:rsid w:val="006C4CFB"/>
    <w:rsid w:val="006C4E12"/>
    <w:rsid w:val="006C5324"/>
    <w:rsid w:val="006C58B7"/>
    <w:rsid w:val="006C5A4B"/>
    <w:rsid w:val="006C5DAD"/>
    <w:rsid w:val="006C61C7"/>
    <w:rsid w:val="006C6730"/>
    <w:rsid w:val="006C6ACD"/>
    <w:rsid w:val="006C6B08"/>
    <w:rsid w:val="006C6BD4"/>
    <w:rsid w:val="006C7830"/>
    <w:rsid w:val="006C7A1E"/>
    <w:rsid w:val="006C7BB0"/>
    <w:rsid w:val="006D0084"/>
    <w:rsid w:val="006D010D"/>
    <w:rsid w:val="006D089B"/>
    <w:rsid w:val="006D0CB7"/>
    <w:rsid w:val="006D0DD4"/>
    <w:rsid w:val="006D1280"/>
    <w:rsid w:val="006D2C1E"/>
    <w:rsid w:val="006D2F5C"/>
    <w:rsid w:val="006D35EC"/>
    <w:rsid w:val="006D395B"/>
    <w:rsid w:val="006D3BDE"/>
    <w:rsid w:val="006D4D4A"/>
    <w:rsid w:val="006D5A83"/>
    <w:rsid w:val="006D61A0"/>
    <w:rsid w:val="006D7E5E"/>
    <w:rsid w:val="006D7E7A"/>
    <w:rsid w:val="006E0ECA"/>
    <w:rsid w:val="006E0F56"/>
    <w:rsid w:val="006E15D8"/>
    <w:rsid w:val="006E184C"/>
    <w:rsid w:val="006E1854"/>
    <w:rsid w:val="006E20D8"/>
    <w:rsid w:val="006E24D2"/>
    <w:rsid w:val="006E286D"/>
    <w:rsid w:val="006E312C"/>
    <w:rsid w:val="006E3F2B"/>
    <w:rsid w:val="006E407D"/>
    <w:rsid w:val="006E4185"/>
    <w:rsid w:val="006E41BC"/>
    <w:rsid w:val="006E42C0"/>
    <w:rsid w:val="006E4699"/>
    <w:rsid w:val="006E47C2"/>
    <w:rsid w:val="006E4816"/>
    <w:rsid w:val="006E482C"/>
    <w:rsid w:val="006E5285"/>
    <w:rsid w:val="006E5310"/>
    <w:rsid w:val="006E534C"/>
    <w:rsid w:val="006E54CA"/>
    <w:rsid w:val="006E557E"/>
    <w:rsid w:val="006E55AD"/>
    <w:rsid w:val="006E5963"/>
    <w:rsid w:val="006E6F74"/>
    <w:rsid w:val="006E708D"/>
    <w:rsid w:val="006E7659"/>
    <w:rsid w:val="006E7A27"/>
    <w:rsid w:val="006E7AFB"/>
    <w:rsid w:val="006E7C7D"/>
    <w:rsid w:val="006F0B83"/>
    <w:rsid w:val="006F1B77"/>
    <w:rsid w:val="006F223C"/>
    <w:rsid w:val="006F2AB7"/>
    <w:rsid w:val="006F3288"/>
    <w:rsid w:val="006F3551"/>
    <w:rsid w:val="006F35A5"/>
    <w:rsid w:val="006F3740"/>
    <w:rsid w:val="006F386D"/>
    <w:rsid w:val="006F4337"/>
    <w:rsid w:val="006F43FC"/>
    <w:rsid w:val="006F47E2"/>
    <w:rsid w:val="006F4C7E"/>
    <w:rsid w:val="006F4F08"/>
    <w:rsid w:val="006F5520"/>
    <w:rsid w:val="006F58C5"/>
    <w:rsid w:val="006F6144"/>
    <w:rsid w:val="006F63D8"/>
    <w:rsid w:val="006F6E8A"/>
    <w:rsid w:val="006F7009"/>
    <w:rsid w:val="006F7D63"/>
    <w:rsid w:val="0070041E"/>
    <w:rsid w:val="007006DD"/>
    <w:rsid w:val="00700D09"/>
    <w:rsid w:val="00700E4A"/>
    <w:rsid w:val="00701472"/>
    <w:rsid w:val="007014C9"/>
    <w:rsid w:val="007017CD"/>
    <w:rsid w:val="00701B18"/>
    <w:rsid w:val="00701DD4"/>
    <w:rsid w:val="00702198"/>
    <w:rsid w:val="007023FB"/>
    <w:rsid w:val="007025D6"/>
    <w:rsid w:val="0070304A"/>
    <w:rsid w:val="00703531"/>
    <w:rsid w:val="00703A09"/>
    <w:rsid w:val="00703F2C"/>
    <w:rsid w:val="0070404A"/>
    <w:rsid w:val="0070474B"/>
    <w:rsid w:val="0070514D"/>
    <w:rsid w:val="007051BD"/>
    <w:rsid w:val="00705396"/>
    <w:rsid w:val="00705414"/>
    <w:rsid w:val="00705A4C"/>
    <w:rsid w:val="00705D6B"/>
    <w:rsid w:val="00705ECA"/>
    <w:rsid w:val="00707024"/>
    <w:rsid w:val="0070774F"/>
    <w:rsid w:val="007077FC"/>
    <w:rsid w:val="00710FC3"/>
    <w:rsid w:val="007119AB"/>
    <w:rsid w:val="00711B5B"/>
    <w:rsid w:val="007120DC"/>
    <w:rsid w:val="00712461"/>
    <w:rsid w:val="007124C3"/>
    <w:rsid w:val="007125AC"/>
    <w:rsid w:val="0071319B"/>
    <w:rsid w:val="00713388"/>
    <w:rsid w:val="0071382F"/>
    <w:rsid w:val="00713B11"/>
    <w:rsid w:val="00714148"/>
    <w:rsid w:val="007144D9"/>
    <w:rsid w:val="00714BB5"/>
    <w:rsid w:val="00714D65"/>
    <w:rsid w:val="0071792F"/>
    <w:rsid w:val="00717C28"/>
    <w:rsid w:val="0072020A"/>
    <w:rsid w:val="00720241"/>
    <w:rsid w:val="0072027A"/>
    <w:rsid w:val="0072046C"/>
    <w:rsid w:val="007206C9"/>
    <w:rsid w:val="007206E5"/>
    <w:rsid w:val="0072087E"/>
    <w:rsid w:val="00720938"/>
    <w:rsid w:val="007213E6"/>
    <w:rsid w:val="00721526"/>
    <w:rsid w:val="00721A90"/>
    <w:rsid w:val="00721BCF"/>
    <w:rsid w:val="00721C15"/>
    <w:rsid w:val="00722C77"/>
    <w:rsid w:val="007234E8"/>
    <w:rsid w:val="007242A8"/>
    <w:rsid w:val="00724957"/>
    <w:rsid w:val="0072527E"/>
    <w:rsid w:val="00725B50"/>
    <w:rsid w:val="00726FF1"/>
    <w:rsid w:val="007277B5"/>
    <w:rsid w:val="00727CE1"/>
    <w:rsid w:val="00727F2A"/>
    <w:rsid w:val="007300D4"/>
    <w:rsid w:val="007302E1"/>
    <w:rsid w:val="0073058F"/>
    <w:rsid w:val="007305B8"/>
    <w:rsid w:val="00730B60"/>
    <w:rsid w:val="00730FC7"/>
    <w:rsid w:val="0073109F"/>
    <w:rsid w:val="00731F17"/>
    <w:rsid w:val="007327BF"/>
    <w:rsid w:val="00732FBE"/>
    <w:rsid w:val="0073347B"/>
    <w:rsid w:val="00733E35"/>
    <w:rsid w:val="00733F96"/>
    <w:rsid w:val="00734B28"/>
    <w:rsid w:val="00734F07"/>
    <w:rsid w:val="007364B9"/>
    <w:rsid w:val="00736590"/>
    <w:rsid w:val="007368AF"/>
    <w:rsid w:val="00736A68"/>
    <w:rsid w:val="00736F2C"/>
    <w:rsid w:val="00737325"/>
    <w:rsid w:val="007374CC"/>
    <w:rsid w:val="007414DB"/>
    <w:rsid w:val="007417A1"/>
    <w:rsid w:val="00741C8B"/>
    <w:rsid w:val="00741FCF"/>
    <w:rsid w:val="0074247E"/>
    <w:rsid w:val="00742AEC"/>
    <w:rsid w:val="00742AF0"/>
    <w:rsid w:val="00743D1E"/>
    <w:rsid w:val="0074432C"/>
    <w:rsid w:val="007446C6"/>
    <w:rsid w:val="00744878"/>
    <w:rsid w:val="00744C56"/>
    <w:rsid w:val="0074528F"/>
    <w:rsid w:val="00745866"/>
    <w:rsid w:val="00745927"/>
    <w:rsid w:val="00745B19"/>
    <w:rsid w:val="00745C7B"/>
    <w:rsid w:val="00746AA1"/>
    <w:rsid w:val="0074724D"/>
    <w:rsid w:val="007474C4"/>
    <w:rsid w:val="00747724"/>
    <w:rsid w:val="0074780D"/>
    <w:rsid w:val="007478B0"/>
    <w:rsid w:val="00747C09"/>
    <w:rsid w:val="00747CFC"/>
    <w:rsid w:val="00747DF8"/>
    <w:rsid w:val="00750256"/>
    <w:rsid w:val="00750459"/>
    <w:rsid w:val="007504D5"/>
    <w:rsid w:val="007514BC"/>
    <w:rsid w:val="00751693"/>
    <w:rsid w:val="00751CBF"/>
    <w:rsid w:val="007521C8"/>
    <w:rsid w:val="00752854"/>
    <w:rsid w:val="007528B8"/>
    <w:rsid w:val="00752C54"/>
    <w:rsid w:val="0075359D"/>
    <w:rsid w:val="00753AFA"/>
    <w:rsid w:val="007542DB"/>
    <w:rsid w:val="00755136"/>
    <w:rsid w:val="007563E2"/>
    <w:rsid w:val="00757636"/>
    <w:rsid w:val="007578F3"/>
    <w:rsid w:val="00757D4A"/>
    <w:rsid w:val="00760E06"/>
    <w:rsid w:val="007614FE"/>
    <w:rsid w:val="00761561"/>
    <w:rsid w:val="00762A57"/>
    <w:rsid w:val="0076330E"/>
    <w:rsid w:val="007635EB"/>
    <w:rsid w:val="00763F09"/>
    <w:rsid w:val="007640CA"/>
    <w:rsid w:val="00764297"/>
    <w:rsid w:val="00764799"/>
    <w:rsid w:val="00764902"/>
    <w:rsid w:val="0076493A"/>
    <w:rsid w:val="007658D4"/>
    <w:rsid w:val="00765D7B"/>
    <w:rsid w:val="00765F67"/>
    <w:rsid w:val="007666DA"/>
    <w:rsid w:val="0076677B"/>
    <w:rsid w:val="00766982"/>
    <w:rsid w:val="00766C0A"/>
    <w:rsid w:val="00766C7F"/>
    <w:rsid w:val="00766FD0"/>
    <w:rsid w:val="0076771D"/>
    <w:rsid w:val="00767AF3"/>
    <w:rsid w:val="00767DAB"/>
    <w:rsid w:val="007700BB"/>
    <w:rsid w:val="00770293"/>
    <w:rsid w:val="0077031E"/>
    <w:rsid w:val="007703F2"/>
    <w:rsid w:val="007708E0"/>
    <w:rsid w:val="00770CA3"/>
    <w:rsid w:val="007717EB"/>
    <w:rsid w:val="00771F32"/>
    <w:rsid w:val="007729E2"/>
    <w:rsid w:val="00772B26"/>
    <w:rsid w:val="00772BEE"/>
    <w:rsid w:val="00772C68"/>
    <w:rsid w:val="007734BB"/>
    <w:rsid w:val="00773B57"/>
    <w:rsid w:val="00773DC9"/>
    <w:rsid w:val="00773DD1"/>
    <w:rsid w:val="007744AC"/>
    <w:rsid w:val="007750E1"/>
    <w:rsid w:val="0077529C"/>
    <w:rsid w:val="0077622D"/>
    <w:rsid w:val="00776559"/>
    <w:rsid w:val="00777DAF"/>
    <w:rsid w:val="0078157A"/>
    <w:rsid w:val="00781CE6"/>
    <w:rsid w:val="00782735"/>
    <w:rsid w:val="00783074"/>
    <w:rsid w:val="00783764"/>
    <w:rsid w:val="00784175"/>
    <w:rsid w:val="00784B6B"/>
    <w:rsid w:val="00785362"/>
    <w:rsid w:val="0078536F"/>
    <w:rsid w:val="007855BE"/>
    <w:rsid w:val="00785C4C"/>
    <w:rsid w:val="007867C4"/>
    <w:rsid w:val="00786853"/>
    <w:rsid w:val="00786877"/>
    <w:rsid w:val="00786E05"/>
    <w:rsid w:val="00787BBF"/>
    <w:rsid w:val="00790507"/>
    <w:rsid w:val="007908D2"/>
    <w:rsid w:val="00791E8A"/>
    <w:rsid w:val="0079230B"/>
    <w:rsid w:val="007926DB"/>
    <w:rsid w:val="00792B3B"/>
    <w:rsid w:val="00792F2C"/>
    <w:rsid w:val="00793363"/>
    <w:rsid w:val="00793798"/>
    <w:rsid w:val="00793E55"/>
    <w:rsid w:val="007940B2"/>
    <w:rsid w:val="007949C6"/>
    <w:rsid w:val="007954FB"/>
    <w:rsid w:val="007955E9"/>
    <w:rsid w:val="007961BE"/>
    <w:rsid w:val="00796429"/>
    <w:rsid w:val="00796480"/>
    <w:rsid w:val="007965F5"/>
    <w:rsid w:val="00796883"/>
    <w:rsid w:val="00796F37"/>
    <w:rsid w:val="007A0070"/>
    <w:rsid w:val="007A014C"/>
    <w:rsid w:val="007A0859"/>
    <w:rsid w:val="007A096B"/>
    <w:rsid w:val="007A0CD0"/>
    <w:rsid w:val="007A1581"/>
    <w:rsid w:val="007A2665"/>
    <w:rsid w:val="007A32A4"/>
    <w:rsid w:val="007A32C9"/>
    <w:rsid w:val="007A336C"/>
    <w:rsid w:val="007A37ED"/>
    <w:rsid w:val="007A459C"/>
    <w:rsid w:val="007A4697"/>
    <w:rsid w:val="007A4B11"/>
    <w:rsid w:val="007A50C1"/>
    <w:rsid w:val="007A552A"/>
    <w:rsid w:val="007A5853"/>
    <w:rsid w:val="007A5D70"/>
    <w:rsid w:val="007A612E"/>
    <w:rsid w:val="007A6EBD"/>
    <w:rsid w:val="007A6EF3"/>
    <w:rsid w:val="007A7D99"/>
    <w:rsid w:val="007A7E7F"/>
    <w:rsid w:val="007B01AA"/>
    <w:rsid w:val="007B03DF"/>
    <w:rsid w:val="007B0656"/>
    <w:rsid w:val="007B0769"/>
    <w:rsid w:val="007B1114"/>
    <w:rsid w:val="007B1B7A"/>
    <w:rsid w:val="007B2A9D"/>
    <w:rsid w:val="007B2DAC"/>
    <w:rsid w:val="007B3641"/>
    <w:rsid w:val="007B46FC"/>
    <w:rsid w:val="007B484C"/>
    <w:rsid w:val="007B4E89"/>
    <w:rsid w:val="007B4FF0"/>
    <w:rsid w:val="007B5ECD"/>
    <w:rsid w:val="007B66CF"/>
    <w:rsid w:val="007B6B15"/>
    <w:rsid w:val="007B6E68"/>
    <w:rsid w:val="007B6EFB"/>
    <w:rsid w:val="007B743A"/>
    <w:rsid w:val="007B74AD"/>
    <w:rsid w:val="007B76F6"/>
    <w:rsid w:val="007B7707"/>
    <w:rsid w:val="007C0E34"/>
    <w:rsid w:val="007C1643"/>
    <w:rsid w:val="007C2264"/>
    <w:rsid w:val="007C2819"/>
    <w:rsid w:val="007C3317"/>
    <w:rsid w:val="007C3488"/>
    <w:rsid w:val="007C3E9C"/>
    <w:rsid w:val="007C5262"/>
    <w:rsid w:val="007C54B9"/>
    <w:rsid w:val="007C57EA"/>
    <w:rsid w:val="007C5BD6"/>
    <w:rsid w:val="007C617E"/>
    <w:rsid w:val="007C6A62"/>
    <w:rsid w:val="007C6EC3"/>
    <w:rsid w:val="007C6F03"/>
    <w:rsid w:val="007C749C"/>
    <w:rsid w:val="007C7625"/>
    <w:rsid w:val="007C7C1C"/>
    <w:rsid w:val="007C7FCA"/>
    <w:rsid w:val="007D0E52"/>
    <w:rsid w:val="007D1293"/>
    <w:rsid w:val="007D131A"/>
    <w:rsid w:val="007D13F0"/>
    <w:rsid w:val="007D1989"/>
    <w:rsid w:val="007D1FB5"/>
    <w:rsid w:val="007D2DAE"/>
    <w:rsid w:val="007D33D7"/>
    <w:rsid w:val="007D391B"/>
    <w:rsid w:val="007D3F63"/>
    <w:rsid w:val="007D3FF5"/>
    <w:rsid w:val="007D4330"/>
    <w:rsid w:val="007D43B0"/>
    <w:rsid w:val="007D58A7"/>
    <w:rsid w:val="007D653D"/>
    <w:rsid w:val="007D6939"/>
    <w:rsid w:val="007E00AF"/>
    <w:rsid w:val="007E0215"/>
    <w:rsid w:val="007E02BF"/>
    <w:rsid w:val="007E08ED"/>
    <w:rsid w:val="007E0B21"/>
    <w:rsid w:val="007E0F47"/>
    <w:rsid w:val="007E3016"/>
    <w:rsid w:val="007E34E3"/>
    <w:rsid w:val="007E3663"/>
    <w:rsid w:val="007E39BB"/>
    <w:rsid w:val="007E3C95"/>
    <w:rsid w:val="007E5003"/>
    <w:rsid w:val="007E5858"/>
    <w:rsid w:val="007E61E2"/>
    <w:rsid w:val="007E65AC"/>
    <w:rsid w:val="007E68E4"/>
    <w:rsid w:val="007E7EB7"/>
    <w:rsid w:val="007F0848"/>
    <w:rsid w:val="007F0D22"/>
    <w:rsid w:val="007F1091"/>
    <w:rsid w:val="007F10F1"/>
    <w:rsid w:val="007F191E"/>
    <w:rsid w:val="007F1AFC"/>
    <w:rsid w:val="007F2004"/>
    <w:rsid w:val="007F21E8"/>
    <w:rsid w:val="007F2864"/>
    <w:rsid w:val="007F2B3B"/>
    <w:rsid w:val="007F3082"/>
    <w:rsid w:val="007F3119"/>
    <w:rsid w:val="007F3C2D"/>
    <w:rsid w:val="007F3E09"/>
    <w:rsid w:val="007F693E"/>
    <w:rsid w:val="008008FC"/>
    <w:rsid w:val="00801099"/>
    <w:rsid w:val="00801140"/>
    <w:rsid w:val="00801FB8"/>
    <w:rsid w:val="008031D9"/>
    <w:rsid w:val="008031EE"/>
    <w:rsid w:val="00803263"/>
    <w:rsid w:val="00803C5D"/>
    <w:rsid w:val="00804416"/>
    <w:rsid w:val="008044C6"/>
    <w:rsid w:val="00804512"/>
    <w:rsid w:val="00804656"/>
    <w:rsid w:val="008048EE"/>
    <w:rsid w:val="00804B4B"/>
    <w:rsid w:val="00805875"/>
    <w:rsid w:val="008058B4"/>
    <w:rsid w:val="00805C21"/>
    <w:rsid w:val="0080731E"/>
    <w:rsid w:val="00807734"/>
    <w:rsid w:val="00807EC0"/>
    <w:rsid w:val="008100FA"/>
    <w:rsid w:val="008102E9"/>
    <w:rsid w:val="00810939"/>
    <w:rsid w:val="00811812"/>
    <w:rsid w:val="008119D9"/>
    <w:rsid w:val="00811EC4"/>
    <w:rsid w:val="00812883"/>
    <w:rsid w:val="00812F82"/>
    <w:rsid w:val="00813251"/>
    <w:rsid w:val="0081380E"/>
    <w:rsid w:val="00813B95"/>
    <w:rsid w:val="00814260"/>
    <w:rsid w:val="008143B4"/>
    <w:rsid w:val="00814544"/>
    <w:rsid w:val="00815D37"/>
    <w:rsid w:val="00815DF1"/>
    <w:rsid w:val="0081618A"/>
    <w:rsid w:val="008166E0"/>
    <w:rsid w:val="00816CFE"/>
    <w:rsid w:val="008170B1"/>
    <w:rsid w:val="00817121"/>
    <w:rsid w:val="00817338"/>
    <w:rsid w:val="00817FBB"/>
    <w:rsid w:val="00820510"/>
    <w:rsid w:val="00820983"/>
    <w:rsid w:val="00820A85"/>
    <w:rsid w:val="008210C8"/>
    <w:rsid w:val="008219DF"/>
    <w:rsid w:val="00821D5D"/>
    <w:rsid w:val="00821E06"/>
    <w:rsid w:val="00822144"/>
    <w:rsid w:val="0082241B"/>
    <w:rsid w:val="008236E4"/>
    <w:rsid w:val="00824483"/>
    <w:rsid w:val="00824895"/>
    <w:rsid w:val="00824AC8"/>
    <w:rsid w:val="00824DFD"/>
    <w:rsid w:val="00824F17"/>
    <w:rsid w:val="00825329"/>
    <w:rsid w:val="00825E3B"/>
    <w:rsid w:val="008260A3"/>
    <w:rsid w:val="008265B2"/>
    <w:rsid w:val="00826A9C"/>
    <w:rsid w:val="00827851"/>
    <w:rsid w:val="0082792D"/>
    <w:rsid w:val="0082793F"/>
    <w:rsid w:val="00827B2E"/>
    <w:rsid w:val="00827E4B"/>
    <w:rsid w:val="00830C04"/>
    <w:rsid w:val="00831588"/>
    <w:rsid w:val="008318B6"/>
    <w:rsid w:val="0083230C"/>
    <w:rsid w:val="00832D0C"/>
    <w:rsid w:val="008333ED"/>
    <w:rsid w:val="00834089"/>
    <w:rsid w:val="00834382"/>
    <w:rsid w:val="00834539"/>
    <w:rsid w:val="008345A3"/>
    <w:rsid w:val="00834AC0"/>
    <w:rsid w:val="00834AF1"/>
    <w:rsid w:val="00835040"/>
    <w:rsid w:val="00835327"/>
    <w:rsid w:val="00835661"/>
    <w:rsid w:val="00835A53"/>
    <w:rsid w:val="0083604A"/>
    <w:rsid w:val="008365D5"/>
    <w:rsid w:val="008366BB"/>
    <w:rsid w:val="00836BCA"/>
    <w:rsid w:val="008374DE"/>
    <w:rsid w:val="00837CFA"/>
    <w:rsid w:val="008405A6"/>
    <w:rsid w:val="0084075F"/>
    <w:rsid w:val="0084083A"/>
    <w:rsid w:val="008408BD"/>
    <w:rsid w:val="008415C1"/>
    <w:rsid w:val="00841639"/>
    <w:rsid w:val="0084294A"/>
    <w:rsid w:val="00842B30"/>
    <w:rsid w:val="00843187"/>
    <w:rsid w:val="0084409D"/>
    <w:rsid w:val="008443A2"/>
    <w:rsid w:val="0084459C"/>
    <w:rsid w:val="00844633"/>
    <w:rsid w:val="00844777"/>
    <w:rsid w:val="00844F80"/>
    <w:rsid w:val="008453C7"/>
    <w:rsid w:val="008455FB"/>
    <w:rsid w:val="00845612"/>
    <w:rsid w:val="008458DD"/>
    <w:rsid w:val="00845C30"/>
    <w:rsid w:val="00846E66"/>
    <w:rsid w:val="0084729B"/>
    <w:rsid w:val="00847683"/>
    <w:rsid w:val="00850332"/>
    <w:rsid w:val="00850608"/>
    <w:rsid w:val="00852309"/>
    <w:rsid w:val="00852B51"/>
    <w:rsid w:val="00853002"/>
    <w:rsid w:val="00853609"/>
    <w:rsid w:val="0085376D"/>
    <w:rsid w:val="00853CB0"/>
    <w:rsid w:val="00854670"/>
    <w:rsid w:val="00854E4F"/>
    <w:rsid w:val="00854EC1"/>
    <w:rsid w:val="0085537F"/>
    <w:rsid w:val="008569A0"/>
    <w:rsid w:val="0085758E"/>
    <w:rsid w:val="00857B9F"/>
    <w:rsid w:val="00857D57"/>
    <w:rsid w:val="00860308"/>
    <w:rsid w:val="00860D78"/>
    <w:rsid w:val="008616CE"/>
    <w:rsid w:val="00862FDB"/>
    <w:rsid w:val="00863F76"/>
    <w:rsid w:val="00864187"/>
    <w:rsid w:val="008655B9"/>
    <w:rsid w:val="008656A5"/>
    <w:rsid w:val="0086634E"/>
    <w:rsid w:val="008665C9"/>
    <w:rsid w:val="00866B95"/>
    <w:rsid w:val="00866DEF"/>
    <w:rsid w:val="00867195"/>
    <w:rsid w:val="008674C7"/>
    <w:rsid w:val="00867A46"/>
    <w:rsid w:val="00867A62"/>
    <w:rsid w:val="00867D49"/>
    <w:rsid w:val="00867EBA"/>
    <w:rsid w:val="0087007C"/>
    <w:rsid w:val="008705FD"/>
    <w:rsid w:val="00870F9A"/>
    <w:rsid w:val="0087154D"/>
    <w:rsid w:val="00873B0A"/>
    <w:rsid w:val="00873BB0"/>
    <w:rsid w:val="008744A4"/>
    <w:rsid w:val="00874780"/>
    <w:rsid w:val="00874955"/>
    <w:rsid w:val="008752B5"/>
    <w:rsid w:val="00875909"/>
    <w:rsid w:val="0087591C"/>
    <w:rsid w:val="00875D75"/>
    <w:rsid w:val="00876128"/>
    <w:rsid w:val="0087616F"/>
    <w:rsid w:val="0087621C"/>
    <w:rsid w:val="0087723E"/>
    <w:rsid w:val="00877D74"/>
    <w:rsid w:val="0088004B"/>
    <w:rsid w:val="008802F2"/>
    <w:rsid w:val="0088077C"/>
    <w:rsid w:val="0088187F"/>
    <w:rsid w:val="00882989"/>
    <w:rsid w:val="00882FC8"/>
    <w:rsid w:val="0088312A"/>
    <w:rsid w:val="008831C7"/>
    <w:rsid w:val="008834D5"/>
    <w:rsid w:val="008836B6"/>
    <w:rsid w:val="00883706"/>
    <w:rsid w:val="00883E8C"/>
    <w:rsid w:val="00883F7F"/>
    <w:rsid w:val="0088504C"/>
    <w:rsid w:val="00885150"/>
    <w:rsid w:val="00885951"/>
    <w:rsid w:val="00886607"/>
    <w:rsid w:val="008866B6"/>
    <w:rsid w:val="0088694D"/>
    <w:rsid w:val="008875B0"/>
    <w:rsid w:val="008878C8"/>
    <w:rsid w:val="0088798C"/>
    <w:rsid w:val="00887E97"/>
    <w:rsid w:val="0089116C"/>
    <w:rsid w:val="008917CC"/>
    <w:rsid w:val="0089298D"/>
    <w:rsid w:val="008929A0"/>
    <w:rsid w:val="00892EA7"/>
    <w:rsid w:val="00893148"/>
    <w:rsid w:val="00893971"/>
    <w:rsid w:val="008940FD"/>
    <w:rsid w:val="0089434C"/>
    <w:rsid w:val="00894E31"/>
    <w:rsid w:val="008950F6"/>
    <w:rsid w:val="00895142"/>
    <w:rsid w:val="008952D6"/>
    <w:rsid w:val="00895496"/>
    <w:rsid w:val="0089554E"/>
    <w:rsid w:val="00895DCF"/>
    <w:rsid w:val="00896B98"/>
    <w:rsid w:val="00897057"/>
    <w:rsid w:val="008975A9"/>
    <w:rsid w:val="00897778"/>
    <w:rsid w:val="008A07FC"/>
    <w:rsid w:val="008A0A0E"/>
    <w:rsid w:val="008A1232"/>
    <w:rsid w:val="008A1349"/>
    <w:rsid w:val="008A1750"/>
    <w:rsid w:val="008A19D4"/>
    <w:rsid w:val="008A28BE"/>
    <w:rsid w:val="008A2914"/>
    <w:rsid w:val="008A407C"/>
    <w:rsid w:val="008A46EA"/>
    <w:rsid w:val="008A478E"/>
    <w:rsid w:val="008A4795"/>
    <w:rsid w:val="008A4A4A"/>
    <w:rsid w:val="008A52B6"/>
    <w:rsid w:val="008A52F3"/>
    <w:rsid w:val="008A5918"/>
    <w:rsid w:val="008A5C56"/>
    <w:rsid w:val="008A6694"/>
    <w:rsid w:val="008A6750"/>
    <w:rsid w:val="008A6B06"/>
    <w:rsid w:val="008A7728"/>
    <w:rsid w:val="008A78E3"/>
    <w:rsid w:val="008B07B4"/>
    <w:rsid w:val="008B09ED"/>
    <w:rsid w:val="008B1484"/>
    <w:rsid w:val="008B1823"/>
    <w:rsid w:val="008B1EE5"/>
    <w:rsid w:val="008B1F74"/>
    <w:rsid w:val="008B209C"/>
    <w:rsid w:val="008B232A"/>
    <w:rsid w:val="008B237F"/>
    <w:rsid w:val="008B2597"/>
    <w:rsid w:val="008B2B30"/>
    <w:rsid w:val="008B3589"/>
    <w:rsid w:val="008B3A63"/>
    <w:rsid w:val="008B46F0"/>
    <w:rsid w:val="008B5AE5"/>
    <w:rsid w:val="008B5B67"/>
    <w:rsid w:val="008B6080"/>
    <w:rsid w:val="008B640B"/>
    <w:rsid w:val="008B6485"/>
    <w:rsid w:val="008B67A3"/>
    <w:rsid w:val="008B6947"/>
    <w:rsid w:val="008B774E"/>
    <w:rsid w:val="008C0CC9"/>
    <w:rsid w:val="008C0E9F"/>
    <w:rsid w:val="008C2908"/>
    <w:rsid w:val="008C2D50"/>
    <w:rsid w:val="008C3B03"/>
    <w:rsid w:val="008C3C93"/>
    <w:rsid w:val="008C4212"/>
    <w:rsid w:val="008C43D5"/>
    <w:rsid w:val="008C449B"/>
    <w:rsid w:val="008C5FD8"/>
    <w:rsid w:val="008C6455"/>
    <w:rsid w:val="008C75B1"/>
    <w:rsid w:val="008C7B2D"/>
    <w:rsid w:val="008D0526"/>
    <w:rsid w:val="008D0B5A"/>
    <w:rsid w:val="008D0F68"/>
    <w:rsid w:val="008D0FAD"/>
    <w:rsid w:val="008D151F"/>
    <w:rsid w:val="008D1722"/>
    <w:rsid w:val="008D22C5"/>
    <w:rsid w:val="008D4111"/>
    <w:rsid w:val="008D4550"/>
    <w:rsid w:val="008D466E"/>
    <w:rsid w:val="008D59D8"/>
    <w:rsid w:val="008D5E58"/>
    <w:rsid w:val="008D746A"/>
    <w:rsid w:val="008D760C"/>
    <w:rsid w:val="008D7B0A"/>
    <w:rsid w:val="008D7B88"/>
    <w:rsid w:val="008D7F9B"/>
    <w:rsid w:val="008E0261"/>
    <w:rsid w:val="008E02FA"/>
    <w:rsid w:val="008E07EA"/>
    <w:rsid w:val="008E0869"/>
    <w:rsid w:val="008E0B01"/>
    <w:rsid w:val="008E196A"/>
    <w:rsid w:val="008E22A7"/>
    <w:rsid w:val="008E2350"/>
    <w:rsid w:val="008E2ECF"/>
    <w:rsid w:val="008E3622"/>
    <w:rsid w:val="008E3EE4"/>
    <w:rsid w:val="008E4CD2"/>
    <w:rsid w:val="008E4F11"/>
    <w:rsid w:val="008E513E"/>
    <w:rsid w:val="008E5567"/>
    <w:rsid w:val="008E5897"/>
    <w:rsid w:val="008E59B7"/>
    <w:rsid w:val="008E64CC"/>
    <w:rsid w:val="008E65E3"/>
    <w:rsid w:val="008E7426"/>
    <w:rsid w:val="008E7589"/>
    <w:rsid w:val="008E76E9"/>
    <w:rsid w:val="008E7C60"/>
    <w:rsid w:val="008E7E33"/>
    <w:rsid w:val="008F0C91"/>
    <w:rsid w:val="008F1B95"/>
    <w:rsid w:val="008F20ED"/>
    <w:rsid w:val="008F2402"/>
    <w:rsid w:val="008F2583"/>
    <w:rsid w:val="008F2CF2"/>
    <w:rsid w:val="008F2DC8"/>
    <w:rsid w:val="008F2F92"/>
    <w:rsid w:val="008F5100"/>
    <w:rsid w:val="008F5370"/>
    <w:rsid w:val="008F5A55"/>
    <w:rsid w:val="008F6251"/>
    <w:rsid w:val="008F63FE"/>
    <w:rsid w:val="008F6601"/>
    <w:rsid w:val="008F6799"/>
    <w:rsid w:val="008F68EC"/>
    <w:rsid w:val="008F79DF"/>
    <w:rsid w:val="009002CB"/>
    <w:rsid w:val="0090064E"/>
    <w:rsid w:val="009010E2"/>
    <w:rsid w:val="0090147A"/>
    <w:rsid w:val="00901610"/>
    <w:rsid w:val="0090229B"/>
    <w:rsid w:val="00902486"/>
    <w:rsid w:val="0090276E"/>
    <w:rsid w:val="00902BCA"/>
    <w:rsid w:val="00902CAF"/>
    <w:rsid w:val="00902EE4"/>
    <w:rsid w:val="00903678"/>
    <w:rsid w:val="00903D11"/>
    <w:rsid w:val="00903DD8"/>
    <w:rsid w:val="009042B8"/>
    <w:rsid w:val="00904604"/>
    <w:rsid w:val="0090480A"/>
    <w:rsid w:val="00904C03"/>
    <w:rsid w:val="00905A34"/>
    <w:rsid w:val="00906B20"/>
    <w:rsid w:val="00910422"/>
    <w:rsid w:val="00910574"/>
    <w:rsid w:val="00911E1D"/>
    <w:rsid w:val="0091263F"/>
    <w:rsid w:val="00912EAE"/>
    <w:rsid w:val="00913961"/>
    <w:rsid w:val="00913C1E"/>
    <w:rsid w:val="00913D00"/>
    <w:rsid w:val="00913E5B"/>
    <w:rsid w:val="00913FBA"/>
    <w:rsid w:val="009146EE"/>
    <w:rsid w:val="00915652"/>
    <w:rsid w:val="00916041"/>
    <w:rsid w:val="00916B10"/>
    <w:rsid w:val="009171D4"/>
    <w:rsid w:val="009179B1"/>
    <w:rsid w:val="00917E30"/>
    <w:rsid w:val="00920117"/>
    <w:rsid w:val="0092069F"/>
    <w:rsid w:val="009209F9"/>
    <w:rsid w:val="00921A3D"/>
    <w:rsid w:val="009224F0"/>
    <w:rsid w:val="00922551"/>
    <w:rsid w:val="00922E2D"/>
    <w:rsid w:val="00922F46"/>
    <w:rsid w:val="0092345C"/>
    <w:rsid w:val="00923492"/>
    <w:rsid w:val="00924849"/>
    <w:rsid w:val="00925016"/>
    <w:rsid w:val="009257EB"/>
    <w:rsid w:val="00925C2C"/>
    <w:rsid w:val="0092673C"/>
    <w:rsid w:val="00926B44"/>
    <w:rsid w:val="0092722D"/>
    <w:rsid w:val="00927725"/>
    <w:rsid w:val="00927AB9"/>
    <w:rsid w:val="00927FD4"/>
    <w:rsid w:val="009313C0"/>
    <w:rsid w:val="0093161C"/>
    <w:rsid w:val="009319D8"/>
    <w:rsid w:val="00931A6B"/>
    <w:rsid w:val="00931C9D"/>
    <w:rsid w:val="00931F60"/>
    <w:rsid w:val="00933033"/>
    <w:rsid w:val="00933722"/>
    <w:rsid w:val="00933935"/>
    <w:rsid w:val="00933EFA"/>
    <w:rsid w:val="00934483"/>
    <w:rsid w:val="009356B7"/>
    <w:rsid w:val="009361EC"/>
    <w:rsid w:val="00936CB6"/>
    <w:rsid w:val="009371B6"/>
    <w:rsid w:val="009376BC"/>
    <w:rsid w:val="0093786F"/>
    <w:rsid w:val="00937D7E"/>
    <w:rsid w:val="009400A3"/>
    <w:rsid w:val="00940481"/>
    <w:rsid w:val="009412AA"/>
    <w:rsid w:val="00941634"/>
    <w:rsid w:val="009418D5"/>
    <w:rsid w:val="00941B5A"/>
    <w:rsid w:val="009429EA"/>
    <w:rsid w:val="00942EF5"/>
    <w:rsid w:val="00945A0A"/>
    <w:rsid w:val="00946588"/>
    <w:rsid w:val="00946C14"/>
    <w:rsid w:val="009471C2"/>
    <w:rsid w:val="009471F7"/>
    <w:rsid w:val="00947375"/>
    <w:rsid w:val="00947E6F"/>
    <w:rsid w:val="00947F13"/>
    <w:rsid w:val="00947F7B"/>
    <w:rsid w:val="0095018E"/>
    <w:rsid w:val="00950877"/>
    <w:rsid w:val="0095126C"/>
    <w:rsid w:val="00951604"/>
    <w:rsid w:val="00951807"/>
    <w:rsid w:val="0095264C"/>
    <w:rsid w:val="00952E51"/>
    <w:rsid w:val="00953496"/>
    <w:rsid w:val="00953851"/>
    <w:rsid w:val="00954ED1"/>
    <w:rsid w:val="009550F1"/>
    <w:rsid w:val="0095533F"/>
    <w:rsid w:val="00955421"/>
    <w:rsid w:val="00955CEA"/>
    <w:rsid w:val="00955E8D"/>
    <w:rsid w:val="00957384"/>
    <w:rsid w:val="009575F1"/>
    <w:rsid w:val="00957E00"/>
    <w:rsid w:val="009602D8"/>
    <w:rsid w:val="00960863"/>
    <w:rsid w:val="009615FE"/>
    <w:rsid w:val="0096170A"/>
    <w:rsid w:val="00961F38"/>
    <w:rsid w:val="00962995"/>
    <w:rsid w:val="00962A65"/>
    <w:rsid w:val="00962B3B"/>
    <w:rsid w:val="00962C36"/>
    <w:rsid w:val="00962D4F"/>
    <w:rsid w:val="00962E8E"/>
    <w:rsid w:val="009632D2"/>
    <w:rsid w:val="0096337D"/>
    <w:rsid w:val="009633EE"/>
    <w:rsid w:val="00963B58"/>
    <w:rsid w:val="009642C3"/>
    <w:rsid w:val="009643CC"/>
    <w:rsid w:val="009647F8"/>
    <w:rsid w:val="009653C1"/>
    <w:rsid w:val="00965C66"/>
    <w:rsid w:val="00967141"/>
    <w:rsid w:val="0096725A"/>
    <w:rsid w:val="009672AF"/>
    <w:rsid w:val="009674DE"/>
    <w:rsid w:val="009676BA"/>
    <w:rsid w:val="009676BD"/>
    <w:rsid w:val="009676F6"/>
    <w:rsid w:val="00970B20"/>
    <w:rsid w:val="009712AB"/>
    <w:rsid w:val="0097202A"/>
    <w:rsid w:val="00972061"/>
    <w:rsid w:val="009726DB"/>
    <w:rsid w:val="00972D94"/>
    <w:rsid w:val="00972F2B"/>
    <w:rsid w:val="00973074"/>
    <w:rsid w:val="00973283"/>
    <w:rsid w:val="009735C4"/>
    <w:rsid w:val="00974047"/>
    <w:rsid w:val="00974404"/>
    <w:rsid w:val="0097483B"/>
    <w:rsid w:val="00974C68"/>
    <w:rsid w:val="00974E51"/>
    <w:rsid w:val="00974EC7"/>
    <w:rsid w:val="0097559F"/>
    <w:rsid w:val="00975B20"/>
    <w:rsid w:val="00976201"/>
    <w:rsid w:val="009772BA"/>
    <w:rsid w:val="009773D9"/>
    <w:rsid w:val="009777BA"/>
    <w:rsid w:val="00977EC1"/>
    <w:rsid w:val="00980EF3"/>
    <w:rsid w:val="0098101B"/>
    <w:rsid w:val="00981F0D"/>
    <w:rsid w:val="00982A9B"/>
    <w:rsid w:val="00982A9E"/>
    <w:rsid w:val="00984093"/>
    <w:rsid w:val="009840A0"/>
    <w:rsid w:val="00984259"/>
    <w:rsid w:val="00984795"/>
    <w:rsid w:val="00985086"/>
    <w:rsid w:val="00985199"/>
    <w:rsid w:val="0098536F"/>
    <w:rsid w:val="0098614F"/>
    <w:rsid w:val="00986498"/>
    <w:rsid w:val="00986CD2"/>
    <w:rsid w:val="00986DC8"/>
    <w:rsid w:val="009873FF"/>
    <w:rsid w:val="009879F5"/>
    <w:rsid w:val="00987CE5"/>
    <w:rsid w:val="009903A3"/>
    <w:rsid w:val="009904B2"/>
    <w:rsid w:val="00990AFA"/>
    <w:rsid w:val="00990D98"/>
    <w:rsid w:val="00991436"/>
    <w:rsid w:val="00991494"/>
    <w:rsid w:val="00991626"/>
    <w:rsid w:val="00991981"/>
    <w:rsid w:val="00991A89"/>
    <w:rsid w:val="00991EC5"/>
    <w:rsid w:val="00992657"/>
    <w:rsid w:val="00992888"/>
    <w:rsid w:val="00992E7E"/>
    <w:rsid w:val="00994116"/>
    <w:rsid w:val="009942E5"/>
    <w:rsid w:val="0099462A"/>
    <w:rsid w:val="00994C52"/>
    <w:rsid w:val="00994F6C"/>
    <w:rsid w:val="00995670"/>
    <w:rsid w:val="009958F7"/>
    <w:rsid w:val="00996403"/>
    <w:rsid w:val="00997444"/>
    <w:rsid w:val="00997627"/>
    <w:rsid w:val="009A0086"/>
    <w:rsid w:val="009A0260"/>
    <w:rsid w:val="009A02A2"/>
    <w:rsid w:val="009A0C6E"/>
    <w:rsid w:val="009A129F"/>
    <w:rsid w:val="009A185E"/>
    <w:rsid w:val="009A1C60"/>
    <w:rsid w:val="009A263A"/>
    <w:rsid w:val="009A2D75"/>
    <w:rsid w:val="009A2EA0"/>
    <w:rsid w:val="009A2FC3"/>
    <w:rsid w:val="009A30C7"/>
    <w:rsid w:val="009A34EA"/>
    <w:rsid w:val="009A4862"/>
    <w:rsid w:val="009A4DA5"/>
    <w:rsid w:val="009A54A4"/>
    <w:rsid w:val="009A5524"/>
    <w:rsid w:val="009A5C96"/>
    <w:rsid w:val="009A5E32"/>
    <w:rsid w:val="009A7227"/>
    <w:rsid w:val="009A7250"/>
    <w:rsid w:val="009A757F"/>
    <w:rsid w:val="009B0015"/>
    <w:rsid w:val="009B0683"/>
    <w:rsid w:val="009B0C8D"/>
    <w:rsid w:val="009B0F60"/>
    <w:rsid w:val="009B1574"/>
    <w:rsid w:val="009B1D93"/>
    <w:rsid w:val="009B29AC"/>
    <w:rsid w:val="009B2A38"/>
    <w:rsid w:val="009B2CBF"/>
    <w:rsid w:val="009B358D"/>
    <w:rsid w:val="009B3D5E"/>
    <w:rsid w:val="009B4116"/>
    <w:rsid w:val="009B41BC"/>
    <w:rsid w:val="009B53BA"/>
    <w:rsid w:val="009B549B"/>
    <w:rsid w:val="009B5C49"/>
    <w:rsid w:val="009B6619"/>
    <w:rsid w:val="009B6E9F"/>
    <w:rsid w:val="009B755C"/>
    <w:rsid w:val="009C0D8B"/>
    <w:rsid w:val="009C2AE1"/>
    <w:rsid w:val="009C3210"/>
    <w:rsid w:val="009C4BAA"/>
    <w:rsid w:val="009C545C"/>
    <w:rsid w:val="009C62AE"/>
    <w:rsid w:val="009C66B9"/>
    <w:rsid w:val="009C6E33"/>
    <w:rsid w:val="009C6F8F"/>
    <w:rsid w:val="009C7E8B"/>
    <w:rsid w:val="009D0FD1"/>
    <w:rsid w:val="009D10A3"/>
    <w:rsid w:val="009D19C5"/>
    <w:rsid w:val="009D1A8B"/>
    <w:rsid w:val="009D24CC"/>
    <w:rsid w:val="009D2B22"/>
    <w:rsid w:val="009D2DCA"/>
    <w:rsid w:val="009D32C5"/>
    <w:rsid w:val="009D33C6"/>
    <w:rsid w:val="009D3D4B"/>
    <w:rsid w:val="009D4187"/>
    <w:rsid w:val="009D43CA"/>
    <w:rsid w:val="009D443D"/>
    <w:rsid w:val="009D4738"/>
    <w:rsid w:val="009D48BC"/>
    <w:rsid w:val="009D48E6"/>
    <w:rsid w:val="009D49B1"/>
    <w:rsid w:val="009D49CB"/>
    <w:rsid w:val="009D4DC6"/>
    <w:rsid w:val="009D4FEC"/>
    <w:rsid w:val="009D52AB"/>
    <w:rsid w:val="009D60BE"/>
    <w:rsid w:val="009D6117"/>
    <w:rsid w:val="009D68D7"/>
    <w:rsid w:val="009D6AC0"/>
    <w:rsid w:val="009D6C43"/>
    <w:rsid w:val="009D6E01"/>
    <w:rsid w:val="009D6EEA"/>
    <w:rsid w:val="009D7BC8"/>
    <w:rsid w:val="009D7DFC"/>
    <w:rsid w:val="009D7F78"/>
    <w:rsid w:val="009E0FCB"/>
    <w:rsid w:val="009E154A"/>
    <w:rsid w:val="009E23E2"/>
    <w:rsid w:val="009E23F7"/>
    <w:rsid w:val="009E25C3"/>
    <w:rsid w:val="009E403F"/>
    <w:rsid w:val="009E45F4"/>
    <w:rsid w:val="009E4EF4"/>
    <w:rsid w:val="009E550B"/>
    <w:rsid w:val="009E56FD"/>
    <w:rsid w:val="009E5C05"/>
    <w:rsid w:val="009E640A"/>
    <w:rsid w:val="009E711E"/>
    <w:rsid w:val="009E7BED"/>
    <w:rsid w:val="009E7CA3"/>
    <w:rsid w:val="009F10C5"/>
    <w:rsid w:val="009F153A"/>
    <w:rsid w:val="009F156B"/>
    <w:rsid w:val="009F15B4"/>
    <w:rsid w:val="009F1AA6"/>
    <w:rsid w:val="009F1EA7"/>
    <w:rsid w:val="009F1ECB"/>
    <w:rsid w:val="009F2CF4"/>
    <w:rsid w:val="009F4292"/>
    <w:rsid w:val="009F50C2"/>
    <w:rsid w:val="009F5E44"/>
    <w:rsid w:val="009F6E2D"/>
    <w:rsid w:val="00A010EC"/>
    <w:rsid w:val="00A01118"/>
    <w:rsid w:val="00A016F9"/>
    <w:rsid w:val="00A01878"/>
    <w:rsid w:val="00A01F33"/>
    <w:rsid w:val="00A02067"/>
    <w:rsid w:val="00A0217A"/>
    <w:rsid w:val="00A02594"/>
    <w:rsid w:val="00A030E5"/>
    <w:rsid w:val="00A0341D"/>
    <w:rsid w:val="00A03C44"/>
    <w:rsid w:val="00A0449E"/>
    <w:rsid w:val="00A0488A"/>
    <w:rsid w:val="00A049E2"/>
    <w:rsid w:val="00A04B93"/>
    <w:rsid w:val="00A04CE8"/>
    <w:rsid w:val="00A05353"/>
    <w:rsid w:val="00A0540F"/>
    <w:rsid w:val="00A067F8"/>
    <w:rsid w:val="00A06ED9"/>
    <w:rsid w:val="00A07B13"/>
    <w:rsid w:val="00A07BF0"/>
    <w:rsid w:val="00A102D3"/>
    <w:rsid w:val="00A10429"/>
    <w:rsid w:val="00A10620"/>
    <w:rsid w:val="00A10926"/>
    <w:rsid w:val="00A10B8E"/>
    <w:rsid w:val="00A11279"/>
    <w:rsid w:val="00A11957"/>
    <w:rsid w:val="00A11B11"/>
    <w:rsid w:val="00A11F7C"/>
    <w:rsid w:val="00A12241"/>
    <w:rsid w:val="00A122D1"/>
    <w:rsid w:val="00A13038"/>
    <w:rsid w:val="00A13156"/>
    <w:rsid w:val="00A1338F"/>
    <w:rsid w:val="00A133DE"/>
    <w:rsid w:val="00A1479F"/>
    <w:rsid w:val="00A15481"/>
    <w:rsid w:val="00A166F6"/>
    <w:rsid w:val="00A16A48"/>
    <w:rsid w:val="00A16E04"/>
    <w:rsid w:val="00A1708D"/>
    <w:rsid w:val="00A17593"/>
    <w:rsid w:val="00A17981"/>
    <w:rsid w:val="00A17B97"/>
    <w:rsid w:val="00A17C1D"/>
    <w:rsid w:val="00A205AB"/>
    <w:rsid w:val="00A2075C"/>
    <w:rsid w:val="00A207AB"/>
    <w:rsid w:val="00A20D57"/>
    <w:rsid w:val="00A20E10"/>
    <w:rsid w:val="00A20F9F"/>
    <w:rsid w:val="00A22C21"/>
    <w:rsid w:val="00A22ECE"/>
    <w:rsid w:val="00A23085"/>
    <w:rsid w:val="00A2320F"/>
    <w:rsid w:val="00A23B8B"/>
    <w:rsid w:val="00A23EEB"/>
    <w:rsid w:val="00A24034"/>
    <w:rsid w:val="00A2594D"/>
    <w:rsid w:val="00A2601D"/>
    <w:rsid w:val="00A271E9"/>
    <w:rsid w:val="00A27BBF"/>
    <w:rsid w:val="00A30038"/>
    <w:rsid w:val="00A30559"/>
    <w:rsid w:val="00A30965"/>
    <w:rsid w:val="00A312FF"/>
    <w:rsid w:val="00A3206D"/>
    <w:rsid w:val="00A324BA"/>
    <w:rsid w:val="00A32A28"/>
    <w:rsid w:val="00A33D47"/>
    <w:rsid w:val="00A3427C"/>
    <w:rsid w:val="00A34395"/>
    <w:rsid w:val="00A344AD"/>
    <w:rsid w:val="00A35B43"/>
    <w:rsid w:val="00A35FA7"/>
    <w:rsid w:val="00A373E2"/>
    <w:rsid w:val="00A37DD7"/>
    <w:rsid w:val="00A40121"/>
    <w:rsid w:val="00A40C4C"/>
    <w:rsid w:val="00A40CC2"/>
    <w:rsid w:val="00A41334"/>
    <w:rsid w:val="00A4145B"/>
    <w:rsid w:val="00A4193F"/>
    <w:rsid w:val="00A42F2F"/>
    <w:rsid w:val="00A430B7"/>
    <w:rsid w:val="00A43497"/>
    <w:rsid w:val="00A43A5A"/>
    <w:rsid w:val="00A43A64"/>
    <w:rsid w:val="00A43C73"/>
    <w:rsid w:val="00A442B6"/>
    <w:rsid w:val="00A44E95"/>
    <w:rsid w:val="00A45645"/>
    <w:rsid w:val="00A46317"/>
    <w:rsid w:val="00A46776"/>
    <w:rsid w:val="00A473CB"/>
    <w:rsid w:val="00A506F9"/>
    <w:rsid w:val="00A50887"/>
    <w:rsid w:val="00A511C8"/>
    <w:rsid w:val="00A51706"/>
    <w:rsid w:val="00A519FE"/>
    <w:rsid w:val="00A51F08"/>
    <w:rsid w:val="00A530A3"/>
    <w:rsid w:val="00A537C3"/>
    <w:rsid w:val="00A5380A"/>
    <w:rsid w:val="00A53ABC"/>
    <w:rsid w:val="00A53B39"/>
    <w:rsid w:val="00A53C92"/>
    <w:rsid w:val="00A540B0"/>
    <w:rsid w:val="00A54402"/>
    <w:rsid w:val="00A5461E"/>
    <w:rsid w:val="00A559E5"/>
    <w:rsid w:val="00A560C9"/>
    <w:rsid w:val="00A5619C"/>
    <w:rsid w:val="00A561BA"/>
    <w:rsid w:val="00A56EEF"/>
    <w:rsid w:val="00A572F2"/>
    <w:rsid w:val="00A57F70"/>
    <w:rsid w:val="00A609F1"/>
    <w:rsid w:val="00A60B64"/>
    <w:rsid w:val="00A61238"/>
    <w:rsid w:val="00A61246"/>
    <w:rsid w:val="00A612E8"/>
    <w:rsid w:val="00A61474"/>
    <w:rsid w:val="00A62034"/>
    <w:rsid w:val="00A6280F"/>
    <w:rsid w:val="00A62D50"/>
    <w:rsid w:val="00A63221"/>
    <w:rsid w:val="00A636CB"/>
    <w:rsid w:val="00A63702"/>
    <w:rsid w:val="00A63C3E"/>
    <w:rsid w:val="00A63E17"/>
    <w:rsid w:val="00A64B58"/>
    <w:rsid w:val="00A65033"/>
    <w:rsid w:val="00A6547E"/>
    <w:rsid w:val="00A663A0"/>
    <w:rsid w:val="00A66E30"/>
    <w:rsid w:val="00A66E72"/>
    <w:rsid w:val="00A66E8A"/>
    <w:rsid w:val="00A671CF"/>
    <w:rsid w:val="00A70050"/>
    <w:rsid w:val="00A7034F"/>
    <w:rsid w:val="00A7064C"/>
    <w:rsid w:val="00A70A35"/>
    <w:rsid w:val="00A70CBC"/>
    <w:rsid w:val="00A71168"/>
    <w:rsid w:val="00A711F4"/>
    <w:rsid w:val="00A7185E"/>
    <w:rsid w:val="00A722DD"/>
    <w:rsid w:val="00A724D7"/>
    <w:rsid w:val="00A7275D"/>
    <w:rsid w:val="00A72AD6"/>
    <w:rsid w:val="00A73154"/>
    <w:rsid w:val="00A73BD1"/>
    <w:rsid w:val="00A75564"/>
    <w:rsid w:val="00A75E31"/>
    <w:rsid w:val="00A761FE"/>
    <w:rsid w:val="00A763C1"/>
    <w:rsid w:val="00A76AE4"/>
    <w:rsid w:val="00A76B57"/>
    <w:rsid w:val="00A76F45"/>
    <w:rsid w:val="00A7706D"/>
    <w:rsid w:val="00A77E1F"/>
    <w:rsid w:val="00A80217"/>
    <w:rsid w:val="00A80579"/>
    <w:rsid w:val="00A81162"/>
    <w:rsid w:val="00A812C3"/>
    <w:rsid w:val="00A813A4"/>
    <w:rsid w:val="00A82AF7"/>
    <w:rsid w:val="00A82D5D"/>
    <w:rsid w:val="00A839EB"/>
    <w:rsid w:val="00A83AE6"/>
    <w:rsid w:val="00A844E0"/>
    <w:rsid w:val="00A8489B"/>
    <w:rsid w:val="00A84D51"/>
    <w:rsid w:val="00A85615"/>
    <w:rsid w:val="00A85B1A"/>
    <w:rsid w:val="00A85C9B"/>
    <w:rsid w:val="00A85DA1"/>
    <w:rsid w:val="00A864BC"/>
    <w:rsid w:val="00A86954"/>
    <w:rsid w:val="00A86AE9"/>
    <w:rsid w:val="00A86CF7"/>
    <w:rsid w:val="00A871A6"/>
    <w:rsid w:val="00A871B6"/>
    <w:rsid w:val="00A90005"/>
    <w:rsid w:val="00A900D9"/>
    <w:rsid w:val="00A91287"/>
    <w:rsid w:val="00A91851"/>
    <w:rsid w:val="00A918EC"/>
    <w:rsid w:val="00A91CC3"/>
    <w:rsid w:val="00A927E6"/>
    <w:rsid w:val="00A9283F"/>
    <w:rsid w:val="00A92986"/>
    <w:rsid w:val="00A92C5E"/>
    <w:rsid w:val="00A92E04"/>
    <w:rsid w:val="00A93018"/>
    <w:rsid w:val="00A934B5"/>
    <w:rsid w:val="00A9376B"/>
    <w:rsid w:val="00A93F4D"/>
    <w:rsid w:val="00A94DE8"/>
    <w:rsid w:val="00A95E65"/>
    <w:rsid w:val="00AA0989"/>
    <w:rsid w:val="00AA1525"/>
    <w:rsid w:val="00AA2D08"/>
    <w:rsid w:val="00AA2FFB"/>
    <w:rsid w:val="00AA3482"/>
    <w:rsid w:val="00AA36EF"/>
    <w:rsid w:val="00AA371C"/>
    <w:rsid w:val="00AA38B4"/>
    <w:rsid w:val="00AA38C8"/>
    <w:rsid w:val="00AA3E5D"/>
    <w:rsid w:val="00AA4D0B"/>
    <w:rsid w:val="00AA58F7"/>
    <w:rsid w:val="00AA602E"/>
    <w:rsid w:val="00AA6079"/>
    <w:rsid w:val="00AA6676"/>
    <w:rsid w:val="00AB058A"/>
    <w:rsid w:val="00AB1197"/>
    <w:rsid w:val="00AB1847"/>
    <w:rsid w:val="00AB19D6"/>
    <w:rsid w:val="00AB1D19"/>
    <w:rsid w:val="00AB1D7C"/>
    <w:rsid w:val="00AB1ED1"/>
    <w:rsid w:val="00AB22F3"/>
    <w:rsid w:val="00AB369F"/>
    <w:rsid w:val="00AB39A0"/>
    <w:rsid w:val="00AB3D88"/>
    <w:rsid w:val="00AB41C6"/>
    <w:rsid w:val="00AB4E20"/>
    <w:rsid w:val="00AB513D"/>
    <w:rsid w:val="00AB5729"/>
    <w:rsid w:val="00AB5AD0"/>
    <w:rsid w:val="00AB5B84"/>
    <w:rsid w:val="00AB5C8F"/>
    <w:rsid w:val="00AB5CDF"/>
    <w:rsid w:val="00AB71C9"/>
    <w:rsid w:val="00AB73A4"/>
    <w:rsid w:val="00AB7613"/>
    <w:rsid w:val="00AB7F71"/>
    <w:rsid w:val="00AB7F7E"/>
    <w:rsid w:val="00AC063D"/>
    <w:rsid w:val="00AC074F"/>
    <w:rsid w:val="00AC0E7B"/>
    <w:rsid w:val="00AC23BA"/>
    <w:rsid w:val="00AC2959"/>
    <w:rsid w:val="00AC2F2E"/>
    <w:rsid w:val="00AC3BF5"/>
    <w:rsid w:val="00AC40B4"/>
    <w:rsid w:val="00AC5452"/>
    <w:rsid w:val="00AC54FF"/>
    <w:rsid w:val="00AC6055"/>
    <w:rsid w:val="00AC648E"/>
    <w:rsid w:val="00AC71F0"/>
    <w:rsid w:val="00AC72B0"/>
    <w:rsid w:val="00AC7C3C"/>
    <w:rsid w:val="00AD088B"/>
    <w:rsid w:val="00AD0D25"/>
    <w:rsid w:val="00AD0E13"/>
    <w:rsid w:val="00AD1B20"/>
    <w:rsid w:val="00AD1CE3"/>
    <w:rsid w:val="00AD213B"/>
    <w:rsid w:val="00AD2232"/>
    <w:rsid w:val="00AD29A4"/>
    <w:rsid w:val="00AD30F8"/>
    <w:rsid w:val="00AD3481"/>
    <w:rsid w:val="00AD3737"/>
    <w:rsid w:val="00AD38DF"/>
    <w:rsid w:val="00AD44B9"/>
    <w:rsid w:val="00AD46C1"/>
    <w:rsid w:val="00AD48C0"/>
    <w:rsid w:val="00AD57B1"/>
    <w:rsid w:val="00AD6740"/>
    <w:rsid w:val="00AD6F5B"/>
    <w:rsid w:val="00AD720D"/>
    <w:rsid w:val="00AD732F"/>
    <w:rsid w:val="00AD756F"/>
    <w:rsid w:val="00AD7B89"/>
    <w:rsid w:val="00AD7E9B"/>
    <w:rsid w:val="00AE03E0"/>
    <w:rsid w:val="00AE06D2"/>
    <w:rsid w:val="00AE1A51"/>
    <w:rsid w:val="00AE1F90"/>
    <w:rsid w:val="00AE2495"/>
    <w:rsid w:val="00AE2FFB"/>
    <w:rsid w:val="00AE3C66"/>
    <w:rsid w:val="00AE4036"/>
    <w:rsid w:val="00AE4961"/>
    <w:rsid w:val="00AE4DDE"/>
    <w:rsid w:val="00AE56FE"/>
    <w:rsid w:val="00AE5AD1"/>
    <w:rsid w:val="00AE5F90"/>
    <w:rsid w:val="00AE5F98"/>
    <w:rsid w:val="00AE6071"/>
    <w:rsid w:val="00AE6744"/>
    <w:rsid w:val="00AE688C"/>
    <w:rsid w:val="00AE6FE2"/>
    <w:rsid w:val="00AE7F0E"/>
    <w:rsid w:val="00AF0499"/>
    <w:rsid w:val="00AF0C44"/>
    <w:rsid w:val="00AF0F7E"/>
    <w:rsid w:val="00AF109E"/>
    <w:rsid w:val="00AF25C0"/>
    <w:rsid w:val="00AF2D6D"/>
    <w:rsid w:val="00AF2DED"/>
    <w:rsid w:val="00AF3BCF"/>
    <w:rsid w:val="00AF3ECB"/>
    <w:rsid w:val="00AF400A"/>
    <w:rsid w:val="00AF4466"/>
    <w:rsid w:val="00AF4737"/>
    <w:rsid w:val="00AF59C7"/>
    <w:rsid w:val="00AF5D58"/>
    <w:rsid w:val="00AF68ED"/>
    <w:rsid w:val="00AF6D4C"/>
    <w:rsid w:val="00AF7596"/>
    <w:rsid w:val="00AF75BA"/>
    <w:rsid w:val="00AF76ED"/>
    <w:rsid w:val="00B00602"/>
    <w:rsid w:val="00B00D13"/>
    <w:rsid w:val="00B0266E"/>
    <w:rsid w:val="00B02BF9"/>
    <w:rsid w:val="00B02DF4"/>
    <w:rsid w:val="00B040F6"/>
    <w:rsid w:val="00B04A5C"/>
    <w:rsid w:val="00B04ACD"/>
    <w:rsid w:val="00B05BAB"/>
    <w:rsid w:val="00B06878"/>
    <w:rsid w:val="00B06B89"/>
    <w:rsid w:val="00B10FD5"/>
    <w:rsid w:val="00B115E1"/>
    <w:rsid w:val="00B11827"/>
    <w:rsid w:val="00B12E36"/>
    <w:rsid w:val="00B1370C"/>
    <w:rsid w:val="00B13A40"/>
    <w:rsid w:val="00B13AF7"/>
    <w:rsid w:val="00B13D63"/>
    <w:rsid w:val="00B14522"/>
    <w:rsid w:val="00B14915"/>
    <w:rsid w:val="00B151D7"/>
    <w:rsid w:val="00B15555"/>
    <w:rsid w:val="00B17DA2"/>
    <w:rsid w:val="00B20C66"/>
    <w:rsid w:val="00B219B8"/>
    <w:rsid w:val="00B22138"/>
    <w:rsid w:val="00B22333"/>
    <w:rsid w:val="00B236B2"/>
    <w:rsid w:val="00B23979"/>
    <w:rsid w:val="00B23F26"/>
    <w:rsid w:val="00B24C05"/>
    <w:rsid w:val="00B250FB"/>
    <w:rsid w:val="00B25168"/>
    <w:rsid w:val="00B25823"/>
    <w:rsid w:val="00B25FE1"/>
    <w:rsid w:val="00B26021"/>
    <w:rsid w:val="00B2608D"/>
    <w:rsid w:val="00B2610D"/>
    <w:rsid w:val="00B26136"/>
    <w:rsid w:val="00B26A0F"/>
    <w:rsid w:val="00B27A76"/>
    <w:rsid w:val="00B305DB"/>
    <w:rsid w:val="00B309EC"/>
    <w:rsid w:val="00B31B9D"/>
    <w:rsid w:val="00B32238"/>
    <w:rsid w:val="00B324D0"/>
    <w:rsid w:val="00B32B56"/>
    <w:rsid w:val="00B32D60"/>
    <w:rsid w:val="00B33245"/>
    <w:rsid w:val="00B33268"/>
    <w:rsid w:val="00B337A0"/>
    <w:rsid w:val="00B33B9C"/>
    <w:rsid w:val="00B33DB5"/>
    <w:rsid w:val="00B340DD"/>
    <w:rsid w:val="00B3490D"/>
    <w:rsid w:val="00B354AB"/>
    <w:rsid w:val="00B356FE"/>
    <w:rsid w:val="00B35AB0"/>
    <w:rsid w:val="00B36DBA"/>
    <w:rsid w:val="00B376B8"/>
    <w:rsid w:val="00B4002F"/>
    <w:rsid w:val="00B401D5"/>
    <w:rsid w:val="00B40605"/>
    <w:rsid w:val="00B41A5C"/>
    <w:rsid w:val="00B41B7C"/>
    <w:rsid w:val="00B41B7F"/>
    <w:rsid w:val="00B43280"/>
    <w:rsid w:val="00B433E7"/>
    <w:rsid w:val="00B4341C"/>
    <w:rsid w:val="00B43B05"/>
    <w:rsid w:val="00B43C4D"/>
    <w:rsid w:val="00B43D42"/>
    <w:rsid w:val="00B4490A"/>
    <w:rsid w:val="00B44CAF"/>
    <w:rsid w:val="00B44F62"/>
    <w:rsid w:val="00B457CF"/>
    <w:rsid w:val="00B4624A"/>
    <w:rsid w:val="00B46299"/>
    <w:rsid w:val="00B46E9A"/>
    <w:rsid w:val="00B46F83"/>
    <w:rsid w:val="00B47277"/>
    <w:rsid w:val="00B474D7"/>
    <w:rsid w:val="00B47B58"/>
    <w:rsid w:val="00B503C5"/>
    <w:rsid w:val="00B50461"/>
    <w:rsid w:val="00B507BA"/>
    <w:rsid w:val="00B513BA"/>
    <w:rsid w:val="00B523FE"/>
    <w:rsid w:val="00B52A8B"/>
    <w:rsid w:val="00B52AFD"/>
    <w:rsid w:val="00B52B56"/>
    <w:rsid w:val="00B52D06"/>
    <w:rsid w:val="00B53A37"/>
    <w:rsid w:val="00B53D1B"/>
    <w:rsid w:val="00B53DA1"/>
    <w:rsid w:val="00B53FA4"/>
    <w:rsid w:val="00B53FE2"/>
    <w:rsid w:val="00B54764"/>
    <w:rsid w:val="00B54902"/>
    <w:rsid w:val="00B5530F"/>
    <w:rsid w:val="00B554D5"/>
    <w:rsid w:val="00B558B5"/>
    <w:rsid w:val="00B55981"/>
    <w:rsid w:val="00B560D1"/>
    <w:rsid w:val="00B56691"/>
    <w:rsid w:val="00B57044"/>
    <w:rsid w:val="00B570B4"/>
    <w:rsid w:val="00B5783C"/>
    <w:rsid w:val="00B57A8E"/>
    <w:rsid w:val="00B57F4B"/>
    <w:rsid w:val="00B60435"/>
    <w:rsid w:val="00B60446"/>
    <w:rsid w:val="00B6058A"/>
    <w:rsid w:val="00B60657"/>
    <w:rsid w:val="00B60BAC"/>
    <w:rsid w:val="00B62741"/>
    <w:rsid w:val="00B62DD8"/>
    <w:rsid w:val="00B63289"/>
    <w:rsid w:val="00B6373E"/>
    <w:rsid w:val="00B63B5D"/>
    <w:rsid w:val="00B63C20"/>
    <w:rsid w:val="00B63FF6"/>
    <w:rsid w:val="00B642D4"/>
    <w:rsid w:val="00B651F2"/>
    <w:rsid w:val="00B655BB"/>
    <w:rsid w:val="00B6568C"/>
    <w:rsid w:val="00B6569D"/>
    <w:rsid w:val="00B658A6"/>
    <w:rsid w:val="00B65FBF"/>
    <w:rsid w:val="00B66109"/>
    <w:rsid w:val="00B664D6"/>
    <w:rsid w:val="00B6673D"/>
    <w:rsid w:val="00B675FA"/>
    <w:rsid w:val="00B70829"/>
    <w:rsid w:val="00B70843"/>
    <w:rsid w:val="00B70BCB"/>
    <w:rsid w:val="00B716EA"/>
    <w:rsid w:val="00B717BD"/>
    <w:rsid w:val="00B71B98"/>
    <w:rsid w:val="00B71BDE"/>
    <w:rsid w:val="00B7244F"/>
    <w:rsid w:val="00B7266C"/>
    <w:rsid w:val="00B727A2"/>
    <w:rsid w:val="00B72A18"/>
    <w:rsid w:val="00B72ADE"/>
    <w:rsid w:val="00B72B16"/>
    <w:rsid w:val="00B72C1D"/>
    <w:rsid w:val="00B72FFF"/>
    <w:rsid w:val="00B735DB"/>
    <w:rsid w:val="00B73766"/>
    <w:rsid w:val="00B73BCB"/>
    <w:rsid w:val="00B73BE7"/>
    <w:rsid w:val="00B742FF"/>
    <w:rsid w:val="00B744A9"/>
    <w:rsid w:val="00B7546E"/>
    <w:rsid w:val="00B75493"/>
    <w:rsid w:val="00B75C12"/>
    <w:rsid w:val="00B75F6D"/>
    <w:rsid w:val="00B764F1"/>
    <w:rsid w:val="00B76A0B"/>
    <w:rsid w:val="00B76E97"/>
    <w:rsid w:val="00B80196"/>
    <w:rsid w:val="00B80605"/>
    <w:rsid w:val="00B812C0"/>
    <w:rsid w:val="00B81B21"/>
    <w:rsid w:val="00B82395"/>
    <w:rsid w:val="00B82D9F"/>
    <w:rsid w:val="00B83715"/>
    <w:rsid w:val="00B839D9"/>
    <w:rsid w:val="00B84048"/>
    <w:rsid w:val="00B86375"/>
    <w:rsid w:val="00B86D6F"/>
    <w:rsid w:val="00B872AC"/>
    <w:rsid w:val="00B87592"/>
    <w:rsid w:val="00B90747"/>
    <w:rsid w:val="00B90C26"/>
    <w:rsid w:val="00B910E1"/>
    <w:rsid w:val="00B92176"/>
    <w:rsid w:val="00B924BD"/>
    <w:rsid w:val="00B92AA5"/>
    <w:rsid w:val="00B92B38"/>
    <w:rsid w:val="00B93395"/>
    <w:rsid w:val="00B9386B"/>
    <w:rsid w:val="00B94820"/>
    <w:rsid w:val="00B94C4E"/>
    <w:rsid w:val="00B94E13"/>
    <w:rsid w:val="00B96278"/>
    <w:rsid w:val="00B96283"/>
    <w:rsid w:val="00B96336"/>
    <w:rsid w:val="00B965DC"/>
    <w:rsid w:val="00B96710"/>
    <w:rsid w:val="00B96ECC"/>
    <w:rsid w:val="00B96FF6"/>
    <w:rsid w:val="00B97C3D"/>
    <w:rsid w:val="00B97D0B"/>
    <w:rsid w:val="00B97E73"/>
    <w:rsid w:val="00BA1AA3"/>
    <w:rsid w:val="00BA1F40"/>
    <w:rsid w:val="00BA2292"/>
    <w:rsid w:val="00BA22E5"/>
    <w:rsid w:val="00BA2639"/>
    <w:rsid w:val="00BA2A46"/>
    <w:rsid w:val="00BA2FF6"/>
    <w:rsid w:val="00BA325D"/>
    <w:rsid w:val="00BA3570"/>
    <w:rsid w:val="00BA3CC3"/>
    <w:rsid w:val="00BA49A0"/>
    <w:rsid w:val="00BA4C4A"/>
    <w:rsid w:val="00BA57B0"/>
    <w:rsid w:val="00BA5885"/>
    <w:rsid w:val="00BA59B5"/>
    <w:rsid w:val="00BA5E2F"/>
    <w:rsid w:val="00BA666A"/>
    <w:rsid w:val="00BA6F0F"/>
    <w:rsid w:val="00BA789D"/>
    <w:rsid w:val="00BA7C17"/>
    <w:rsid w:val="00BA7F9D"/>
    <w:rsid w:val="00BB07EA"/>
    <w:rsid w:val="00BB1454"/>
    <w:rsid w:val="00BB165F"/>
    <w:rsid w:val="00BB168C"/>
    <w:rsid w:val="00BB1800"/>
    <w:rsid w:val="00BB3509"/>
    <w:rsid w:val="00BB3829"/>
    <w:rsid w:val="00BB445D"/>
    <w:rsid w:val="00BB6A1D"/>
    <w:rsid w:val="00BB72E1"/>
    <w:rsid w:val="00BB7EA2"/>
    <w:rsid w:val="00BC07FE"/>
    <w:rsid w:val="00BC0A84"/>
    <w:rsid w:val="00BC0DCA"/>
    <w:rsid w:val="00BC157E"/>
    <w:rsid w:val="00BC230D"/>
    <w:rsid w:val="00BC2521"/>
    <w:rsid w:val="00BC2632"/>
    <w:rsid w:val="00BC26A8"/>
    <w:rsid w:val="00BC2A43"/>
    <w:rsid w:val="00BC2B05"/>
    <w:rsid w:val="00BC35BC"/>
    <w:rsid w:val="00BC398F"/>
    <w:rsid w:val="00BC403D"/>
    <w:rsid w:val="00BC40EE"/>
    <w:rsid w:val="00BC41CE"/>
    <w:rsid w:val="00BC5786"/>
    <w:rsid w:val="00BC5C68"/>
    <w:rsid w:val="00BC5DE3"/>
    <w:rsid w:val="00BC6902"/>
    <w:rsid w:val="00BC6C91"/>
    <w:rsid w:val="00BC7796"/>
    <w:rsid w:val="00BC7C73"/>
    <w:rsid w:val="00BD0404"/>
    <w:rsid w:val="00BD1DBB"/>
    <w:rsid w:val="00BD207C"/>
    <w:rsid w:val="00BD21AE"/>
    <w:rsid w:val="00BD2983"/>
    <w:rsid w:val="00BD2FDC"/>
    <w:rsid w:val="00BD303D"/>
    <w:rsid w:val="00BD3C75"/>
    <w:rsid w:val="00BD41D0"/>
    <w:rsid w:val="00BD4547"/>
    <w:rsid w:val="00BD497F"/>
    <w:rsid w:val="00BD513E"/>
    <w:rsid w:val="00BD5672"/>
    <w:rsid w:val="00BD5682"/>
    <w:rsid w:val="00BD6009"/>
    <w:rsid w:val="00BD60E5"/>
    <w:rsid w:val="00BD6E5D"/>
    <w:rsid w:val="00BD720D"/>
    <w:rsid w:val="00BD7335"/>
    <w:rsid w:val="00BD74F0"/>
    <w:rsid w:val="00BD7986"/>
    <w:rsid w:val="00BE0091"/>
    <w:rsid w:val="00BE02FF"/>
    <w:rsid w:val="00BE031A"/>
    <w:rsid w:val="00BE0B57"/>
    <w:rsid w:val="00BE0D9B"/>
    <w:rsid w:val="00BE0EA1"/>
    <w:rsid w:val="00BE1119"/>
    <w:rsid w:val="00BE2ED3"/>
    <w:rsid w:val="00BE3400"/>
    <w:rsid w:val="00BE3AB2"/>
    <w:rsid w:val="00BE3C22"/>
    <w:rsid w:val="00BE3D8F"/>
    <w:rsid w:val="00BE4026"/>
    <w:rsid w:val="00BE4756"/>
    <w:rsid w:val="00BE4C90"/>
    <w:rsid w:val="00BE5484"/>
    <w:rsid w:val="00BE5615"/>
    <w:rsid w:val="00BE6045"/>
    <w:rsid w:val="00BE63EE"/>
    <w:rsid w:val="00BE69B3"/>
    <w:rsid w:val="00BE6A89"/>
    <w:rsid w:val="00BE7447"/>
    <w:rsid w:val="00BE77BE"/>
    <w:rsid w:val="00BE77CA"/>
    <w:rsid w:val="00BE7B11"/>
    <w:rsid w:val="00BE7C83"/>
    <w:rsid w:val="00BE7E4B"/>
    <w:rsid w:val="00BE7FD9"/>
    <w:rsid w:val="00BF022A"/>
    <w:rsid w:val="00BF0906"/>
    <w:rsid w:val="00BF0CD2"/>
    <w:rsid w:val="00BF0FED"/>
    <w:rsid w:val="00BF19D1"/>
    <w:rsid w:val="00BF1A8B"/>
    <w:rsid w:val="00BF22C8"/>
    <w:rsid w:val="00BF2710"/>
    <w:rsid w:val="00BF3F5A"/>
    <w:rsid w:val="00BF3F6F"/>
    <w:rsid w:val="00BF4231"/>
    <w:rsid w:val="00BF51DD"/>
    <w:rsid w:val="00BF61AC"/>
    <w:rsid w:val="00BF61E8"/>
    <w:rsid w:val="00BF6926"/>
    <w:rsid w:val="00BF69B4"/>
    <w:rsid w:val="00BF6B7B"/>
    <w:rsid w:val="00BF6F12"/>
    <w:rsid w:val="00BF7328"/>
    <w:rsid w:val="00BF7F23"/>
    <w:rsid w:val="00C00282"/>
    <w:rsid w:val="00C0031E"/>
    <w:rsid w:val="00C003BB"/>
    <w:rsid w:val="00C0163F"/>
    <w:rsid w:val="00C01AE1"/>
    <w:rsid w:val="00C02350"/>
    <w:rsid w:val="00C02545"/>
    <w:rsid w:val="00C02E68"/>
    <w:rsid w:val="00C037DF"/>
    <w:rsid w:val="00C04A42"/>
    <w:rsid w:val="00C04BD6"/>
    <w:rsid w:val="00C064E1"/>
    <w:rsid w:val="00C072B2"/>
    <w:rsid w:val="00C07322"/>
    <w:rsid w:val="00C07386"/>
    <w:rsid w:val="00C07914"/>
    <w:rsid w:val="00C07BB1"/>
    <w:rsid w:val="00C07CDA"/>
    <w:rsid w:val="00C101F9"/>
    <w:rsid w:val="00C1061F"/>
    <w:rsid w:val="00C10E19"/>
    <w:rsid w:val="00C10F17"/>
    <w:rsid w:val="00C117FF"/>
    <w:rsid w:val="00C11842"/>
    <w:rsid w:val="00C11BC7"/>
    <w:rsid w:val="00C11E87"/>
    <w:rsid w:val="00C11EAF"/>
    <w:rsid w:val="00C12099"/>
    <w:rsid w:val="00C12594"/>
    <w:rsid w:val="00C13438"/>
    <w:rsid w:val="00C14087"/>
    <w:rsid w:val="00C14103"/>
    <w:rsid w:val="00C147CB"/>
    <w:rsid w:val="00C14A28"/>
    <w:rsid w:val="00C14D23"/>
    <w:rsid w:val="00C15572"/>
    <w:rsid w:val="00C15C17"/>
    <w:rsid w:val="00C15EAF"/>
    <w:rsid w:val="00C177C9"/>
    <w:rsid w:val="00C17D81"/>
    <w:rsid w:val="00C2024A"/>
    <w:rsid w:val="00C205B6"/>
    <w:rsid w:val="00C205F0"/>
    <w:rsid w:val="00C2098A"/>
    <w:rsid w:val="00C20CA0"/>
    <w:rsid w:val="00C22DC4"/>
    <w:rsid w:val="00C23646"/>
    <w:rsid w:val="00C23826"/>
    <w:rsid w:val="00C23A0C"/>
    <w:rsid w:val="00C24A69"/>
    <w:rsid w:val="00C25D28"/>
    <w:rsid w:val="00C25D6A"/>
    <w:rsid w:val="00C25FE0"/>
    <w:rsid w:val="00C26451"/>
    <w:rsid w:val="00C26745"/>
    <w:rsid w:val="00C268BD"/>
    <w:rsid w:val="00C26A7D"/>
    <w:rsid w:val="00C26F99"/>
    <w:rsid w:val="00C273A1"/>
    <w:rsid w:val="00C278BA"/>
    <w:rsid w:val="00C27DC3"/>
    <w:rsid w:val="00C3047F"/>
    <w:rsid w:val="00C30C1A"/>
    <w:rsid w:val="00C30C7B"/>
    <w:rsid w:val="00C31AAF"/>
    <w:rsid w:val="00C31B23"/>
    <w:rsid w:val="00C31B9B"/>
    <w:rsid w:val="00C31B9C"/>
    <w:rsid w:val="00C3215F"/>
    <w:rsid w:val="00C327D5"/>
    <w:rsid w:val="00C32D27"/>
    <w:rsid w:val="00C335EF"/>
    <w:rsid w:val="00C33D55"/>
    <w:rsid w:val="00C33FCE"/>
    <w:rsid w:val="00C34167"/>
    <w:rsid w:val="00C34BF2"/>
    <w:rsid w:val="00C34C1E"/>
    <w:rsid w:val="00C3523F"/>
    <w:rsid w:val="00C355ED"/>
    <w:rsid w:val="00C3575C"/>
    <w:rsid w:val="00C369C1"/>
    <w:rsid w:val="00C36B60"/>
    <w:rsid w:val="00C36E07"/>
    <w:rsid w:val="00C374F6"/>
    <w:rsid w:val="00C37F5A"/>
    <w:rsid w:val="00C404AB"/>
    <w:rsid w:val="00C411CD"/>
    <w:rsid w:val="00C413B3"/>
    <w:rsid w:val="00C42A06"/>
    <w:rsid w:val="00C43161"/>
    <w:rsid w:val="00C43E95"/>
    <w:rsid w:val="00C43F56"/>
    <w:rsid w:val="00C44BD7"/>
    <w:rsid w:val="00C45FAB"/>
    <w:rsid w:val="00C465D5"/>
    <w:rsid w:val="00C46CF4"/>
    <w:rsid w:val="00C46EA6"/>
    <w:rsid w:val="00C47082"/>
    <w:rsid w:val="00C47644"/>
    <w:rsid w:val="00C479EC"/>
    <w:rsid w:val="00C5013C"/>
    <w:rsid w:val="00C50FCC"/>
    <w:rsid w:val="00C516C6"/>
    <w:rsid w:val="00C51B2D"/>
    <w:rsid w:val="00C51C39"/>
    <w:rsid w:val="00C52218"/>
    <w:rsid w:val="00C52550"/>
    <w:rsid w:val="00C52559"/>
    <w:rsid w:val="00C5345A"/>
    <w:rsid w:val="00C53A6D"/>
    <w:rsid w:val="00C53EDC"/>
    <w:rsid w:val="00C544F1"/>
    <w:rsid w:val="00C55B9F"/>
    <w:rsid w:val="00C55BA4"/>
    <w:rsid w:val="00C55E3F"/>
    <w:rsid w:val="00C55FB0"/>
    <w:rsid w:val="00C56226"/>
    <w:rsid w:val="00C56D26"/>
    <w:rsid w:val="00C572C7"/>
    <w:rsid w:val="00C5765C"/>
    <w:rsid w:val="00C60011"/>
    <w:rsid w:val="00C61B5F"/>
    <w:rsid w:val="00C61DE9"/>
    <w:rsid w:val="00C61E3F"/>
    <w:rsid w:val="00C62BF6"/>
    <w:rsid w:val="00C6335C"/>
    <w:rsid w:val="00C6349D"/>
    <w:rsid w:val="00C6368E"/>
    <w:rsid w:val="00C63AE4"/>
    <w:rsid w:val="00C63EDB"/>
    <w:rsid w:val="00C64116"/>
    <w:rsid w:val="00C6492E"/>
    <w:rsid w:val="00C64AE1"/>
    <w:rsid w:val="00C64CFA"/>
    <w:rsid w:val="00C65016"/>
    <w:rsid w:val="00C654B0"/>
    <w:rsid w:val="00C65856"/>
    <w:rsid w:val="00C65CE4"/>
    <w:rsid w:val="00C65E10"/>
    <w:rsid w:val="00C65E82"/>
    <w:rsid w:val="00C66757"/>
    <w:rsid w:val="00C66F30"/>
    <w:rsid w:val="00C6756F"/>
    <w:rsid w:val="00C702BA"/>
    <w:rsid w:val="00C703F5"/>
    <w:rsid w:val="00C715F6"/>
    <w:rsid w:val="00C71C32"/>
    <w:rsid w:val="00C729F0"/>
    <w:rsid w:val="00C72B88"/>
    <w:rsid w:val="00C7349A"/>
    <w:rsid w:val="00C73E99"/>
    <w:rsid w:val="00C74692"/>
    <w:rsid w:val="00C74C3E"/>
    <w:rsid w:val="00C74E6D"/>
    <w:rsid w:val="00C76008"/>
    <w:rsid w:val="00C7619E"/>
    <w:rsid w:val="00C7721F"/>
    <w:rsid w:val="00C774D8"/>
    <w:rsid w:val="00C77511"/>
    <w:rsid w:val="00C77D04"/>
    <w:rsid w:val="00C8000F"/>
    <w:rsid w:val="00C80039"/>
    <w:rsid w:val="00C807D9"/>
    <w:rsid w:val="00C80AFC"/>
    <w:rsid w:val="00C80D87"/>
    <w:rsid w:val="00C81548"/>
    <w:rsid w:val="00C81C99"/>
    <w:rsid w:val="00C82050"/>
    <w:rsid w:val="00C821C7"/>
    <w:rsid w:val="00C82AE7"/>
    <w:rsid w:val="00C838B3"/>
    <w:rsid w:val="00C83C30"/>
    <w:rsid w:val="00C83CD8"/>
    <w:rsid w:val="00C84446"/>
    <w:rsid w:val="00C84810"/>
    <w:rsid w:val="00C84999"/>
    <w:rsid w:val="00C84E01"/>
    <w:rsid w:val="00C84E23"/>
    <w:rsid w:val="00C85318"/>
    <w:rsid w:val="00C8549B"/>
    <w:rsid w:val="00C859E6"/>
    <w:rsid w:val="00C85A97"/>
    <w:rsid w:val="00C85B8E"/>
    <w:rsid w:val="00C85D10"/>
    <w:rsid w:val="00C8612D"/>
    <w:rsid w:val="00C86156"/>
    <w:rsid w:val="00C869C3"/>
    <w:rsid w:val="00C86C5A"/>
    <w:rsid w:val="00C87882"/>
    <w:rsid w:val="00C87972"/>
    <w:rsid w:val="00C87B7A"/>
    <w:rsid w:val="00C87C1C"/>
    <w:rsid w:val="00C900E0"/>
    <w:rsid w:val="00C90642"/>
    <w:rsid w:val="00C90A29"/>
    <w:rsid w:val="00C90F87"/>
    <w:rsid w:val="00C90FF2"/>
    <w:rsid w:val="00C9134D"/>
    <w:rsid w:val="00C914AA"/>
    <w:rsid w:val="00C91A9E"/>
    <w:rsid w:val="00C91D21"/>
    <w:rsid w:val="00C92E6E"/>
    <w:rsid w:val="00C937E5"/>
    <w:rsid w:val="00C93EE4"/>
    <w:rsid w:val="00C940F5"/>
    <w:rsid w:val="00C941C0"/>
    <w:rsid w:val="00C948D6"/>
    <w:rsid w:val="00C94FDF"/>
    <w:rsid w:val="00C95395"/>
    <w:rsid w:val="00C958BE"/>
    <w:rsid w:val="00C95E5F"/>
    <w:rsid w:val="00C96170"/>
    <w:rsid w:val="00C96F26"/>
    <w:rsid w:val="00CA07A1"/>
    <w:rsid w:val="00CA0CFD"/>
    <w:rsid w:val="00CA1155"/>
    <w:rsid w:val="00CA122A"/>
    <w:rsid w:val="00CA1859"/>
    <w:rsid w:val="00CA1DC4"/>
    <w:rsid w:val="00CA27C1"/>
    <w:rsid w:val="00CA3724"/>
    <w:rsid w:val="00CA3BD3"/>
    <w:rsid w:val="00CA5509"/>
    <w:rsid w:val="00CA6B8B"/>
    <w:rsid w:val="00CA71B5"/>
    <w:rsid w:val="00CA7289"/>
    <w:rsid w:val="00CA7403"/>
    <w:rsid w:val="00CA791C"/>
    <w:rsid w:val="00CA7930"/>
    <w:rsid w:val="00CA7AE2"/>
    <w:rsid w:val="00CB0DBB"/>
    <w:rsid w:val="00CB0E2A"/>
    <w:rsid w:val="00CB12D2"/>
    <w:rsid w:val="00CB2693"/>
    <w:rsid w:val="00CB290F"/>
    <w:rsid w:val="00CB351C"/>
    <w:rsid w:val="00CB3BB7"/>
    <w:rsid w:val="00CB4422"/>
    <w:rsid w:val="00CB50ED"/>
    <w:rsid w:val="00CB5364"/>
    <w:rsid w:val="00CB5474"/>
    <w:rsid w:val="00CB54C6"/>
    <w:rsid w:val="00CB5D34"/>
    <w:rsid w:val="00CB5F08"/>
    <w:rsid w:val="00CB60F7"/>
    <w:rsid w:val="00CB636C"/>
    <w:rsid w:val="00CB6476"/>
    <w:rsid w:val="00CB6DD7"/>
    <w:rsid w:val="00CB7616"/>
    <w:rsid w:val="00CC1DA5"/>
    <w:rsid w:val="00CC328F"/>
    <w:rsid w:val="00CC3727"/>
    <w:rsid w:val="00CC4FF3"/>
    <w:rsid w:val="00CC57BA"/>
    <w:rsid w:val="00CC58C2"/>
    <w:rsid w:val="00CC5A66"/>
    <w:rsid w:val="00CC6583"/>
    <w:rsid w:val="00CC6BAF"/>
    <w:rsid w:val="00CC7855"/>
    <w:rsid w:val="00CD0C9B"/>
    <w:rsid w:val="00CD0F58"/>
    <w:rsid w:val="00CD16EC"/>
    <w:rsid w:val="00CD18D2"/>
    <w:rsid w:val="00CD1DC9"/>
    <w:rsid w:val="00CD24B0"/>
    <w:rsid w:val="00CD4A9C"/>
    <w:rsid w:val="00CD5FE4"/>
    <w:rsid w:val="00CD6424"/>
    <w:rsid w:val="00CD64B7"/>
    <w:rsid w:val="00CD69FF"/>
    <w:rsid w:val="00CD6EDF"/>
    <w:rsid w:val="00CD7229"/>
    <w:rsid w:val="00CD74A3"/>
    <w:rsid w:val="00CE07AE"/>
    <w:rsid w:val="00CE0B2E"/>
    <w:rsid w:val="00CE1887"/>
    <w:rsid w:val="00CE1C2D"/>
    <w:rsid w:val="00CE1F14"/>
    <w:rsid w:val="00CE1FD8"/>
    <w:rsid w:val="00CE2366"/>
    <w:rsid w:val="00CE266F"/>
    <w:rsid w:val="00CE3307"/>
    <w:rsid w:val="00CE33E5"/>
    <w:rsid w:val="00CE372C"/>
    <w:rsid w:val="00CE3890"/>
    <w:rsid w:val="00CE3D9E"/>
    <w:rsid w:val="00CE4452"/>
    <w:rsid w:val="00CE4572"/>
    <w:rsid w:val="00CE530C"/>
    <w:rsid w:val="00CE5943"/>
    <w:rsid w:val="00CE5A6F"/>
    <w:rsid w:val="00CE6720"/>
    <w:rsid w:val="00CE72FE"/>
    <w:rsid w:val="00CE7374"/>
    <w:rsid w:val="00CE75EE"/>
    <w:rsid w:val="00CE7B69"/>
    <w:rsid w:val="00CE7D57"/>
    <w:rsid w:val="00CF043D"/>
    <w:rsid w:val="00CF192D"/>
    <w:rsid w:val="00CF1C86"/>
    <w:rsid w:val="00CF1E45"/>
    <w:rsid w:val="00CF21DF"/>
    <w:rsid w:val="00CF2642"/>
    <w:rsid w:val="00CF27DF"/>
    <w:rsid w:val="00CF2AAE"/>
    <w:rsid w:val="00CF2F76"/>
    <w:rsid w:val="00CF3339"/>
    <w:rsid w:val="00CF3D9B"/>
    <w:rsid w:val="00CF6027"/>
    <w:rsid w:val="00CF78EB"/>
    <w:rsid w:val="00CF7A18"/>
    <w:rsid w:val="00CF7B7F"/>
    <w:rsid w:val="00CF7BD8"/>
    <w:rsid w:val="00CF7D21"/>
    <w:rsid w:val="00D00F05"/>
    <w:rsid w:val="00D0131A"/>
    <w:rsid w:val="00D01D12"/>
    <w:rsid w:val="00D01DC2"/>
    <w:rsid w:val="00D01DC4"/>
    <w:rsid w:val="00D02117"/>
    <w:rsid w:val="00D026FA"/>
    <w:rsid w:val="00D02BAD"/>
    <w:rsid w:val="00D035BD"/>
    <w:rsid w:val="00D038CD"/>
    <w:rsid w:val="00D03DE6"/>
    <w:rsid w:val="00D04860"/>
    <w:rsid w:val="00D04AA5"/>
    <w:rsid w:val="00D04C0F"/>
    <w:rsid w:val="00D05270"/>
    <w:rsid w:val="00D0663C"/>
    <w:rsid w:val="00D06969"/>
    <w:rsid w:val="00D075FA"/>
    <w:rsid w:val="00D0764C"/>
    <w:rsid w:val="00D076F6"/>
    <w:rsid w:val="00D07776"/>
    <w:rsid w:val="00D07821"/>
    <w:rsid w:val="00D101F7"/>
    <w:rsid w:val="00D10200"/>
    <w:rsid w:val="00D10866"/>
    <w:rsid w:val="00D12601"/>
    <w:rsid w:val="00D12A70"/>
    <w:rsid w:val="00D12FA1"/>
    <w:rsid w:val="00D12FB2"/>
    <w:rsid w:val="00D133AE"/>
    <w:rsid w:val="00D13B3A"/>
    <w:rsid w:val="00D14E77"/>
    <w:rsid w:val="00D151AE"/>
    <w:rsid w:val="00D151B4"/>
    <w:rsid w:val="00D15276"/>
    <w:rsid w:val="00D152A7"/>
    <w:rsid w:val="00D152CE"/>
    <w:rsid w:val="00D159B2"/>
    <w:rsid w:val="00D15A06"/>
    <w:rsid w:val="00D16AE3"/>
    <w:rsid w:val="00D16E17"/>
    <w:rsid w:val="00D17123"/>
    <w:rsid w:val="00D17256"/>
    <w:rsid w:val="00D1746B"/>
    <w:rsid w:val="00D17789"/>
    <w:rsid w:val="00D20339"/>
    <w:rsid w:val="00D20555"/>
    <w:rsid w:val="00D2129C"/>
    <w:rsid w:val="00D21654"/>
    <w:rsid w:val="00D21D16"/>
    <w:rsid w:val="00D22515"/>
    <w:rsid w:val="00D22776"/>
    <w:rsid w:val="00D22A4E"/>
    <w:rsid w:val="00D23179"/>
    <w:rsid w:val="00D23D1C"/>
    <w:rsid w:val="00D24218"/>
    <w:rsid w:val="00D24984"/>
    <w:rsid w:val="00D24D66"/>
    <w:rsid w:val="00D25B90"/>
    <w:rsid w:val="00D25C01"/>
    <w:rsid w:val="00D25C3D"/>
    <w:rsid w:val="00D2659E"/>
    <w:rsid w:val="00D26A0C"/>
    <w:rsid w:val="00D26C85"/>
    <w:rsid w:val="00D276D8"/>
    <w:rsid w:val="00D27C25"/>
    <w:rsid w:val="00D302D5"/>
    <w:rsid w:val="00D31AA0"/>
    <w:rsid w:val="00D31ED4"/>
    <w:rsid w:val="00D32BDA"/>
    <w:rsid w:val="00D340C5"/>
    <w:rsid w:val="00D34558"/>
    <w:rsid w:val="00D346A2"/>
    <w:rsid w:val="00D35218"/>
    <w:rsid w:val="00D3527D"/>
    <w:rsid w:val="00D35549"/>
    <w:rsid w:val="00D357CF"/>
    <w:rsid w:val="00D35A0F"/>
    <w:rsid w:val="00D35B84"/>
    <w:rsid w:val="00D361D4"/>
    <w:rsid w:val="00D37202"/>
    <w:rsid w:val="00D37369"/>
    <w:rsid w:val="00D400E4"/>
    <w:rsid w:val="00D403F6"/>
    <w:rsid w:val="00D40944"/>
    <w:rsid w:val="00D41BBD"/>
    <w:rsid w:val="00D4211B"/>
    <w:rsid w:val="00D421AA"/>
    <w:rsid w:val="00D42D9D"/>
    <w:rsid w:val="00D43438"/>
    <w:rsid w:val="00D436F7"/>
    <w:rsid w:val="00D43A71"/>
    <w:rsid w:val="00D44057"/>
    <w:rsid w:val="00D44D7E"/>
    <w:rsid w:val="00D44DD9"/>
    <w:rsid w:val="00D4503A"/>
    <w:rsid w:val="00D46581"/>
    <w:rsid w:val="00D46A95"/>
    <w:rsid w:val="00D50ED8"/>
    <w:rsid w:val="00D51309"/>
    <w:rsid w:val="00D527AE"/>
    <w:rsid w:val="00D5292A"/>
    <w:rsid w:val="00D52A09"/>
    <w:rsid w:val="00D52BAF"/>
    <w:rsid w:val="00D5311C"/>
    <w:rsid w:val="00D533A6"/>
    <w:rsid w:val="00D535AB"/>
    <w:rsid w:val="00D53745"/>
    <w:rsid w:val="00D53838"/>
    <w:rsid w:val="00D5460D"/>
    <w:rsid w:val="00D54FF2"/>
    <w:rsid w:val="00D5549A"/>
    <w:rsid w:val="00D55599"/>
    <w:rsid w:val="00D55AF3"/>
    <w:rsid w:val="00D56260"/>
    <w:rsid w:val="00D562C7"/>
    <w:rsid w:val="00D571A1"/>
    <w:rsid w:val="00D571A5"/>
    <w:rsid w:val="00D5745B"/>
    <w:rsid w:val="00D5747A"/>
    <w:rsid w:val="00D60712"/>
    <w:rsid w:val="00D61A7A"/>
    <w:rsid w:val="00D61AD5"/>
    <w:rsid w:val="00D6218C"/>
    <w:rsid w:val="00D636A3"/>
    <w:rsid w:val="00D636AA"/>
    <w:rsid w:val="00D63AE6"/>
    <w:rsid w:val="00D6463D"/>
    <w:rsid w:val="00D64C98"/>
    <w:rsid w:val="00D64E20"/>
    <w:rsid w:val="00D653D7"/>
    <w:rsid w:val="00D65492"/>
    <w:rsid w:val="00D65B00"/>
    <w:rsid w:val="00D664A0"/>
    <w:rsid w:val="00D665AB"/>
    <w:rsid w:val="00D667A2"/>
    <w:rsid w:val="00D66E8C"/>
    <w:rsid w:val="00D67D13"/>
    <w:rsid w:val="00D7085E"/>
    <w:rsid w:val="00D7122C"/>
    <w:rsid w:val="00D7147A"/>
    <w:rsid w:val="00D72037"/>
    <w:rsid w:val="00D722CE"/>
    <w:rsid w:val="00D72392"/>
    <w:rsid w:val="00D723E0"/>
    <w:rsid w:val="00D72634"/>
    <w:rsid w:val="00D72F0E"/>
    <w:rsid w:val="00D732E8"/>
    <w:rsid w:val="00D7356E"/>
    <w:rsid w:val="00D73610"/>
    <w:rsid w:val="00D73C3E"/>
    <w:rsid w:val="00D74003"/>
    <w:rsid w:val="00D74060"/>
    <w:rsid w:val="00D75CBD"/>
    <w:rsid w:val="00D75DD8"/>
    <w:rsid w:val="00D762AC"/>
    <w:rsid w:val="00D76A3A"/>
    <w:rsid w:val="00D76ACE"/>
    <w:rsid w:val="00D77028"/>
    <w:rsid w:val="00D774EE"/>
    <w:rsid w:val="00D77C30"/>
    <w:rsid w:val="00D8025B"/>
    <w:rsid w:val="00D805F6"/>
    <w:rsid w:val="00D813AB"/>
    <w:rsid w:val="00D81D1D"/>
    <w:rsid w:val="00D82A1A"/>
    <w:rsid w:val="00D838B4"/>
    <w:rsid w:val="00D83D7D"/>
    <w:rsid w:val="00D8447F"/>
    <w:rsid w:val="00D8458A"/>
    <w:rsid w:val="00D846D6"/>
    <w:rsid w:val="00D84E45"/>
    <w:rsid w:val="00D84F03"/>
    <w:rsid w:val="00D85A8A"/>
    <w:rsid w:val="00D85FF0"/>
    <w:rsid w:val="00D860FE"/>
    <w:rsid w:val="00D8633D"/>
    <w:rsid w:val="00D864F4"/>
    <w:rsid w:val="00D8687E"/>
    <w:rsid w:val="00D87579"/>
    <w:rsid w:val="00D87611"/>
    <w:rsid w:val="00D87A75"/>
    <w:rsid w:val="00D905D1"/>
    <w:rsid w:val="00D90636"/>
    <w:rsid w:val="00D910B2"/>
    <w:rsid w:val="00D9232E"/>
    <w:rsid w:val="00D92872"/>
    <w:rsid w:val="00D92B3C"/>
    <w:rsid w:val="00D92F31"/>
    <w:rsid w:val="00D9310E"/>
    <w:rsid w:val="00D933EA"/>
    <w:rsid w:val="00D9372D"/>
    <w:rsid w:val="00D94077"/>
    <w:rsid w:val="00D942C9"/>
    <w:rsid w:val="00D94E3F"/>
    <w:rsid w:val="00D95F15"/>
    <w:rsid w:val="00D960A0"/>
    <w:rsid w:val="00D96652"/>
    <w:rsid w:val="00D96B60"/>
    <w:rsid w:val="00D96EF3"/>
    <w:rsid w:val="00D9710D"/>
    <w:rsid w:val="00D97D0E"/>
    <w:rsid w:val="00DA0BCC"/>
    <w:rsid w:val="00DA1878"/>
    <w:rsid w:val="00DA1A19"/>
    <w:rsid w:val="00DA21D7"/>
    <w:rsid w:val="00DA220D"/>
    <w:rsid w:val="00DA2CDD"/>
    <w:rsid w:val="00DA31D7"/>
    <w:rsid w:val="00DA3686"/>
    <w:rsid w:val="00DA3AE5"/>
    <w:rsid w:val="00DA3EBB"/>
    <w:rsid w:val="00DA3F0E"/>
    <w:rsid w:val="00DA49F8"/>
    <w:rsid w:val="00DA5D7F"/>
    <w:rsid w:val="00DA6415"/>
    <w:rsid w:val="00DA6C1C"/>
    <w:rsid w:val="00DA7BDA"/>
    <w:rsid w:val="00DA7D34"/>
    <w:rsid w:val="00DB1049"/>
    <w:rsid w:val="00DB1CDA"/>
    <w:rsid w:val="00DB2ABD"/>
    <w:rsid w:val="00DB2D49"/>
    <w:rsid w:val="00DB306A"/>
    <w:rsid w:val="00DB30DC"/>
    <w:rsid w:val="00DB4262"/>
    <w:rsid w:val="00DB44E6"/>
    <w:rsid w:val="00DB48D7"/>
    <w:rsid w:val="00DB4AD3"/>
    <w:rsid w:val="00DB4E1E"/>
    <w:rsid w:val="00DB5619"/>
    <w:rsid w:val="00DB5FB6"/>
    <w:rsid w:val="00DB6084"/>
    <w:rsid w:val="00DB6365"/>
    <w:rsid w:val="00DB6631"/>
    <w:rsid w:val="00DB690A"/>
    <w:rsid w:val="00DB6992"/>
    <w:rsid w:val="00DB6F4A"/>
    <w:rsid w:val="00DB72BD"/>
    <w:rsid w:val="00DB78A5"/>
    <w:rsid w:val="00DB79CE"/>
    <w:rsid w:val="00DC053B"/>
    <w:rsid w:val="00DC0BE4"/>
    <w:rsid w:val="00DC1731"/>
    <w:rsid w:val="00DC1CF1"/>
    <w:rsid w:val="00DC2227"/>
    <w:rsid w:val="00DC2BC2"/>
    <w:rsid w:val="00DC31DB"/>
    <w:rsid w:val="00DC380A"/>
    <w:rsid w:val="00DC410D"/>
    <w:rsid w:val="00DC4A7F"/>
    <w:rsid w:val="00DC4B4E"/>
    <w:rsid w:val="00DC4FA7"/>
    <w:rsid w:val="00DC5639"/>
    <w:rsid w:val="00DC581A"/>
    <w:rsid w:val="00DC5DF0"/>
    <w:rsid w:val="00DC5E8C"/>
    <w:rsid w:val="00DC613F"/>
    <w:rsid w:val="00DC6570"/>
    <w:rsid w:val="00DC6B48"/>
    <w:rsid w:val="00DC704F"/>
    <w:rsid w:val="00DC7179"/>
    <w:rsid w:val="00DC7280"/>
    <w:rsid w:val="00DC740C"/>
    <w:rsid w:val="00DC7A3D"/>
    <w:rsid w:val="00DC7D11"/>
    <w:rsid w:val="00DC7F11"/>
    <w:rsid w:val="00DD0D6A"/>
    <w:rsid w:val="00DD0DC9"/>
    <w:rsid w:val="00DD0E1E"/>
    <w:rsid w:val="00DD1EAD"/>
    <w:rsid w:val="00DD28EF"/>
    <w:rsid w:val="00DD39EE"/>
    <w:rsid w:val="00DD49EC"/>
    <w:rsid w:val="00DD4BF9"/>
    <w:rsid w:val="00DD59D9"/>
    <w:rsid w:val="00DD5AB9"/>
    <w:rsid w:val="00DD6F16"/>
    <w:rsid w:val="00DD7397"/>
    <w:rsid w:val="00DD73FE"/>
    <w:rsid w:val="00DE051D"/>
    <w:rsid w:val="00DE0567"/>
    <w:rsid w:val="00DE0786"/>
    <w:rsid w:val="00DE1373"/>
    <w:rsid w:val="00DE1E28"/>
    <w:rsid w:val="00DE2D6B"/>
    <w:rsid w:val="00DE3C17"/>
    <w:rsid w:val="00DE3FD0"/>
    <w:rsid w:val="00DE42F7"/>
    <w:rsid w:val="00DE43D7"/>
    <w:rsid w:val="00DE4A70"/>
    <w:rsid w:val="00DE4B6E"/>
    <w:rsid w:val="00DE4D1B"/>
    <w:rsid w:val="00DE4D2B"/>
    <w:rsid w:val="00DE4E22"/>
    <w:rsid w:val="00DE5618"/>
    <w:rsid w:val="00DE59AC"/>
    <w:rsid w:val="00DE5ABF"/>
    <w:rsid w:val="00DE6800"/>
    <w:rsid w:val="00DE6A26"/>
    <w:rsid w:val="00DE7029"/>
    <w:rsid w:val="00DF036F"/>
    <w:rsid w:val="00DF04F9"/>
    <w:rsid w:val="00DF093A"/>
    <w:rsid w:val="00DF0A26"/>
    <w:rsid w:val="00DF0BEB"/>
    <w:rsid w:val="00DF169B"/>
    <w:rsid w:val="00DF1921"/>
    <w:rsid w:val="00DF2321"/>
    <w:rsid w:val="00DF23F4"/>
    <w:rsid w:val="00DF2C19"/>
    <w:rsid w:val="00DF44D2"/>
    <w:rsid w:val="00DF4ACE"/>
    <w:rsid w:val="00DF4ECF"/>
    <w:rsid w:val="00DF5069"/>
    <w:rsid w:val="00DF55EC"/>
    <w:rsid w:val="00DF574E"/>
    <w:rsid w:val="00DF5785"/>
    <w:rsid w:val="00DF6252"/>
    <w:rsid w:val="00DF6C1A"/>
    <w:rsid w:val="00DF6D73"/>
    <w:rsid w:val="00DF7454"/>
    <w:rsid w:val="00DF79E0"/>
    <w:rsid w:val="00DF7D61"/>
    <w:rsid w:val="00E00B94"/>
    <w:rsid w:val="00E013C5"/>
    <w:rsid w:val="00E024B1"/>
    <w:rsid w:val="00E02625"/>
    <w:rsid w:val="00E03040"/>
    <w:rsid w:val="00E03575"/>
    <w:rsid w:val="00E03850"/>
    <w:rsid w:val="00E03953"/>
    <w:rsid w:val="00E03E0B"/>
    <w:rsid w:val="00E04239"/>
    <w:rsid w:val="00E04431"/>
    <w:rsid w:val="00E04591"/>
    <w:rsid w:val="00E0528B"/>
    <w:rsid w:val="00E05E8E"/>
    <w:rsid w:val="00E060F8"/>
    <w:rsid w:val="00E073B3"/>
    <w:rsid w:val="00E07962"/>
    <w:rsid w:val="00E07A3A"/>
    <w:rsid w:val="00E108AB"/>
    <w:rsid w:val="00E10DD9"/>
    <w:rsid w:val="00E12C75"/>
    <w:rsid w:val="00E12E17"/>
    <w:rsid w:val="00E1302B"/>
    <w:rsid w:val="00E135AA"/>
    <w:rsid w:val="00E141FA"/>
    <w:rsid w:val="00E145B3"/>
    <w:rsid w:val="00E151D0"/>
    <w:rsid w:val="00E15423"/>
    <w:rsid w:val="00E154C0"/>
    <w:rsid w:val="00E154CA"/>
    <w:rsid w:val="00E1567A"/>
    <w:rsid w:val="00E159A3"/>
    <w:rsid w:val="00E162A9"/>
    <w:rsid w:val="00E17561"/>
    <w:rsid w:val="00E175C5"/>
    <w:rsid w:val="00E17AF4"/>
    <w:rsid w:val="00E21333"/>
    <w:rsid w:val="00E222B7"/>
    <w:rsid w:val="00E2268F"/>
    <w:rsid w:val="00E226FD"/>
    <w:rsid w:val="00E22BDA"/>
    <w:rsid w:val="00E23CEA"/>
    <w:rsid w:val="00E241E3"/>
    <w:rsid w:val="00E2449A"/>
    <w:rsid w:val="00E244C7"/>
    <w:rsid w:val="00E249CD"/>
    <w:rsid w:val="00E24C9E"/>
    <w:rsid w:val="00E25179"/>
    <w:rsid w:val="00E257AA"/>
    <w:rsid w:val="00E2590C"/>
    <w:rsid w:val="00E25B21"/>
    <w:rsid w:val="00E263FE"/>
    <w:rsid w:val="00E27028"/>
    <w:rsid w:val="00E2755C"/>
    <w:rsid w:val="00E2781A"/>
    <w:rsid w:val="00E279C8"/>
    <w:rsid w:val="00E300D9"/>
    <w:rsid w:val="00E3010F"/>
    <w:rsid w:val="00E30652"/>
    <w:rsid w:val="00E30AEA"/>
    <w:rsid w:val="00E31369"/>
    <w:rsid w:val="00E3159F"/>
    <w:rsid w:val="00E31708"/>
    <w:rsid w:val="00E31D3A"/>
    <w:rsid w:val="00E32151"/>
    <w:rsid w:val="00E32DE0"/>
    <w:rsid w:val="00E33131"/>
    <w:rsid w:val="00E332DC"/>
    <w:rsid w:val="00E33400"/>
    <w:rsid w:val="00E3365C"/>
    <w:rsid w:val="00E33970"/>
    <w:rsid w:val="00E342B4"/>
    <w:rsid w:val="00E34DB0"/>
    <w:rsid w:val="00E35635"/>
    <w:rsid w:val="00E35713"/>
    <w:rsid w:val="00E36175"/>
    <w:rsid w:val="00E367DD"/>
    <w:rsid w:val="00E36A1E"/>
    <w:rsid w:val="00E36BF8"/>
    <w:rsid w:val="00E36FF8"/>
    <w:rsid w:val="00E37005"/>
    <w:rsid w:val="00E37DFA"/>
    <w:rsid w:val="00E40028"/>
    <w:rsid w:val="00E40A06"/>
    <w:rsid w:val="00E410FF"/>
    <w:rsid w:val="00E41276"/>
    <w:rsid w:val="00E41A94"/>
    <w:rsid w:val="00E41E7F"/>
    <w:rsid w:val="00E424D8"/>
    <w:rsid w:val="00E42595"/>
    <w:rsid w:val="00E431CB"/>
    <w:rsid w:val="00E432B9"/>
    <w:rsid w:val="00E43428"/>
    <w:rsid w:val="00E44154"/>
    <w:rsid w:val="00E44455"/>
    <w:rsid w:val="00E45591"/>
    <w:rsid w:val="00E459EE"/>
    <w:rsid w:val="00E4653B"/>
    <w:rsid w:val="00E46691"/>
    <w:rsid w:val="00E4678D"/>
    <w:rsid w:val="00E46948"/>
    <w:rsid w:val="00E46F0D"/>
    <w:rsid w:val="00E47338"/>
    <w:rsid w:val="00E477FC"/>
    <w:rsid w:val="00E47EB8"/>
    <w:rsid w:val="00E47F13"/>
    <w:rsid w:val="00E5016D"/>
    <w:rsid w:val="00E50A0C"/>
    <w:rsid w:val="00E50BB6"/>
    <w:rsid w:val="00E519B5"/>
    <w:rsid w:val="00E51CA2"/>
    <w:rsid w:val="00E53674"/>
    <w:rsid w:val="00E538B5"/>
    <w:rsid w:val="00E53944"/>
    <w:rsid w:val="00E53B42"/>
    <w:rsid w:val="00E53FEA"/>
    <w:rsid w:val="00E541E8"/>
    <w:rsid w:val="00E541F7"/>
    <w:rsid w:val="00E5446E"/>
    <w:rsid w:val="00E54531"/>
    <w:rsid w:val="00E54CA6"/>
    <w:rsid w:val="00E553BE"/>
    <w:rsid w:val="00E55AF4"/>
    <w:rsid w:val="00E56602"/>
    <w:rsid w:val="00E5674E"/>
    <w:rsid w:val="00E56BA1"/>
    <w:rsid w:val="00E61765"/>
    <w:rsid w:val="00E61BA7"/>
    <w:rsid w:val="00E62712"/>
    <w:rsid w:val="00E63C2A"/>
    <w:rsid w:val="00E64202"/>
    <w:rsid w:val="00E654E5"/>
    <w:rsid w:val="00E65DAB"/>
    <w:rsid w:val="00E65FA2"/>
    <w:rsid w:val="00E66A23"/>
    <w:rsid w:val="00E6730F"/>
    <w:rsid w:val="00E6747D"/>
    <w:rsid w:val="00E7048E"/>
    <w:rsid w:val="00E7099C"/>
    <w:rsid w:val="00E70B03"/>
    <w:rsid w:val="00E70D70"/>
    <w:rsid w:val="00E70E36"/>
    <w:rsid w:val="00E70F3C"/>
    <w:rsid w:val="00E71118"/>
    <w:rsid w:val="00E71386"/>
    <w:rsid w:val="00E724CE"/>
    <w:rsid w:val="00E72D7E"/>
    <w:rsid w:val="00E72F88"/>
    <w:rsid w:val="00E736D3"/>
    <w:rsid w:val="00E73882"/>
    <w:rsid w:val="00E74A2F"/>
    <w:rsid w:val="00E74BB6"/>
    <w:rsid w:val="00E75254"/>
    <w:rsid w:val="00E75585"/>
    <w:rsid w:val="00E76029"/>
    <w:rsid w:val="00E7633A"/>
    <w:rsid w:val="00E764D4"/>
    <w:rsid w:val="00E76780"/>
    <w:rsid w:val="00E76AAD"/>
    <w:rsid w:val="00E7776E"/>
    <w:rsid w:val="00E77B74"/>
    <w:rsid w:val="00E77BF4"/>
    <w:rsid w:val="00E77E90"/>
    <w:rsid w:val="00E80534"/>
    <w:rsid w:val="00E8080F"/>
    <w:rsid w:val="00E810DD"/>
    <w:rsid w:val="00E816B2"/>
    <w:rsid w:val="00E82B5A"/>
    <w:rsid w:val="00E83057"/>
    <w:rsid w:val="00E837FE"/>
    <w:rsid w:val="00E83862"/>
    <w:rsid w:val="00E83F84"/>
    <w:rsid w:val="00E8471A"/>
    <w:rsid w:val="00E852FF"/>
    <w:rsid w:val="00E854D0"/>
    <w:rsid w:val="00E85756"/>
    <w:rsid w:val="00E85A1D"/>
    <w:rsid w:val="00E85B72"/>
    <w:rsid w:val="00E85B76"/>
    <w:rsid w:val="00E85EA3"/>
    <w:rsid w:val="00E85EA8"/>
    <w:rsid w:val="00E869BB"/>
    <w:rsid w:val="00E86ACF"/>
    <w:rsid w:val="00E86F25"/>
    <w:rsid w:val="00E87541"/>
    <w:rsid w:val="00E87CA1"/>
    <w:rsid w:val="00E87F8F"/>
    <w:rsid w:val="00E90509"/>
    <w:rsid w:val="00E905FC"/>
    <w:rsid w:val="00E9091B"/>
    <w:rsid w:val="00E90974"/>
    <w:rsid w:val="00E911DA"/>
    <w:rsid w:val="00E91948"/>
    <w:rsid w:val="00E924AB"/>
    <w:rsid w:val="00E9295F"/>
    <w:rsid w:val="00E92AB6"/>
    <w:rsid w:val="00E92C75"/>
    <w:rsid w:val="00E932A4"/>
    <w:rsid w:val="00E932E9"/>
    <w:rsid w:val="00E935D3"/>
    <w:rsid w:val="00E93EDB"/>
    <w:rsid w:val="00E94407"/>
    <w:rsid w:val="00E948FD"/>
    <w:rsid w:val="00E95140"/>
    <w:rsid w:val="00E9554D"/>
    <w:rsid w:val="00E95E2B"/>
    <w:rsid w:val="00E965E1"/>
    <w:rsid w:val="00E967DA"/>
    <w:rsid w:val="00E97BAC"/>
    <w:rsid w:val="00EA058F"/>
    <w:rsid w:val="00EA0C3B"/>
    <w:rsid w:val="00EA20A6"/>
    <w:rsid w:val="00EA252C"/>
    <w:rsid w:val="00EA2874"/>
    <w:rsid w:val="00EA3343"/>
    <w:rsid w:val="00EA352E"/>
    <w:rsid w:val="00EA3702"/>
    <w:rsid w:val="00EA39E1"/>
    <w:rsid w:val="00EA3C6B"/>
    <w:rsid w:val="00EA405B"/>
    <w:rsid w:val="00EA4B52"/>
    <w:rsid w:val="00EA5FBD"/>
    <w:rsid w:val="00EA6181"/>
    <w:rsid w:val="00EA6763"/>
    <w:rsid w:val="00EA67B9"/>
    <w:rsid w:val="00EA73CC"/>
    <w:rsid w:val="00EA7F94"/>
    <w:rsid w:val="00EB035A"/>
    <w:rsid w:val="00EB0B33"/>
    <w:rsid w:val="00EB12A6"/>
    <w:rsid w:val="00EB14D0"/>
    <w:rsid w:val="00EB1EBD"/>
    <w:rsid w:val="00EB23F9"/>
    <w:rsid w:val="00EB2778"/>
    <w:rsid w:val="00EB2999"/>
    <w:rsid w:val="00EB2FC8"/>
    <w:rsid w:val="00EB31FA"/>
    <w:rsid w:val="00EB3426"/>
    <w:rsid w:val="00EB346F"/>
    <w:rsid w:val="00EB4D64"/>
    <w:rsid w:val="00EB4F34"/>
    <w:rsid w:val="00EB5A8C"/>
    <w:rsid w:val="00EB5E56"/>
    <w:rsid w:val="00EB60CD"/>
    <w:rsid w:val="00EB614A"/>
    <w:rsid w:val="00EB6D41"/>
    <w:rsid w:val="00EB72B6"/>
    <w:rsid w:val="00EB78DC"/>
    <w:rsid w:val="00EC0E4D"/>
    <w:rsid w:val="00EC2CBD"/>
    <w:rsid w:val="00EC3061"/>
    <w:rsid w:val="00EC36E7"/>
    <w:rsid w:val="00EC41AB"/>
    <w:rsid w:val="00EC4EDE"/>
    <w:rsid w:val="00EC520C"/>
    <w:rsid w:val="00EC5F77"/>
    <w:rsid w:val="00EC637B"/>
    <w:rsid w:val="00EC63DB"/>
    <w:rsid w:val="00EC66C6"/>
    <w:rsid w:val="00EC671A"/>
    <w:rsid w:val="00EC6917"/>
    <w:rsid w:val="00EC6A75"/>
    <w:rsid w:val="00EC6B31"/>
    <w:rsid w:val="00EC6B95"/>
    <w:rsid w:val="00EC6F30"/>
    <w:rsid w:val="00EC76AC"/>
    <w:rsid w:val="00EC7E5C"/>
    <w:rsid w:val="00ED006E"/>
    <w:rsid w:val="00ED022C"/>
    <w:rsid w:val="00ED092F"/>
    <w:rsid w:val="00ED097B"/>
    <w:rsid w:val="00ED109E"/>
    <w:rsid w:val="00ED2325"/>
    <w:rsid w:val="00ED3065"/>
    <w:rsid w:val="00ED3427"/>
    <w:rsid w:val="00ED40C3"/>
    <w:rsid w:val="00ED4422"/>
    <w:rsid w:val="00ED4DEA"/>
    <w:rsid w:val="00ED5075"/>
    <w:rsid w:val="00ED5873"/>
    <w:rsid w:val="00ED58E2"/>
    <w:rsid w:val="00ED6FEF"/>
    <w:rsid w:val="00ED72F9"/>
    <w:rsid w:val="00ED78C1"/>
    <w:rsid w:val="00ED7D79"/>
    <w:rsid w:val="00ED7E16"/>
    <w:rsid w:val="00EE126B"/>
    <w:rsid w:val="00EE1CD1"/>
    <w:rsid w:val="00EE1DF2"/>
    <w:rsid w:val="00EE223B"/>
    <w:rsid w:val="00EE25CD"/>
    <w:rsid w:val="00EE2BA6"/>
    <w:rsid w:val="00EE3021"/>
    <w:rsid w:val="00EE37D1"/>
    <w:rsid w:val="00EE38E0"/>
    <w:rsid w:val="00EE3B15"/>
    <w:rsid w:val="00EE3FB9"/>
    <w:rsid w:val="00EE42E1"/>
    <w:rsid w:val="00EE48B7"/>
    <w:rsid w:val="00EE498B"/>
    <w:rsid w:val="00EE4AC9"/>
    <w:rsid w:val="00EE60E1"/>
    <w:rsid w:val="00EE674F"/>
    <w:rsid w:val="00EE7022"/>
    <w:rsid w:val="00EE72A3"/>
    <w:rsid w:val="00EF034C"/>
    <w:rsid w:val="00EF100E"/>
    <w:rsid w:val="00EF1462"/>
    <w:rsid w:val="00EF1659"/>
    <w:rsid w:val="00EF168E"/>
    <w:rsid w:val="00EF1868"/>
    <w:rsid w:val="00EF1F51"/>
    <w:rsid w:val="00EF34E2"/>
    <w:rsid w:val="00EF4093"/>
    <w:rsid w:val="00EF50CB"/>
    <w:rsid w:val="00EF57E3"/>
    <w:rsid w:val="00EF5942"/>
    <w:rsid w:val="00EF6036"/>
    <w:rsid w:val="00EF6103"/>
    <w:rsid w:val="00EF6C91"/>
    <w:rsid w:val="00EF6ED2"/>
    <w:rsid w:val="00EF799C"/>
    <w:rsid w:val="00EF7C59"/>
    <w:rsid w:val="00EF7D1B"/>
    <w:rsid w:val="00F007BE"/>
    <w:rsid w:val="00F00FD7"/>
    <w:rsid w:val="00F0119B"/>
    <w:rsid w:val="00F01628"/>
    <w:rsid w:val="00F027B5"/>
    <w:rsid w:val="00F029AA"/>
    <w:rsid w:val="00F030FF"/>
    <w:rsid w:val="00F03894"/>
    <w:rsid w:val="00F039D6"/>
    <w:rsid w:val="00F03E95"/>
    <w:rsid w:val="00F045AB"/>
    <w:rsid w:val="00F049A4"/>
    <w:rsid w:val="00F04D32"/>
    <w:rsid w:val="00F05D90"/>
    <w:rsid w:val="00F0612F"/>
    <w:rsid w:val="00F06ED2"/>
    <w:rsid w:val="00F078AC"/>
    <w:rsid w:val="00F07907"/>
    <w:rsid w:val="00F07E07"/>
    <w:rsid w:val="00F10BBC"/>
    <w:rsid w:val="00F10BBD"/>
    <w:rsid w:val="00F10E93"/>
    <w:rsid w:val="00F110A9"/>
    <w:rsid w:val="00F11501"/>
    <w:rsid w:val="00F115DC"/>
    <w:rsid w:val="00F11899"/>
    <w:rsid w:val="00F11ABD"/>
    <w:rsid w:val="00F12C5F"/>
    <w:rsid w:val="00F13144"/>
    <w:rsid w:val="00F139A8"/>
    <w:rsid w:val="00F14D4E"/>
    <w:rsid w:val="00F156A8"/>
    <w:rsid w:val="00F160EF"/>
    <w:rsid w:val="00F164CA"/>
    <w:rsid w:val="00F16BE8"/>
    <w:rsid w:val="00F179C8"/>
    <w:rsid w:val="00F2092D"/>
    <w:rsid w:val="00F20F23"/>
    <w:rsid w:val="00F2398E"/>
    <w:rsid w:val="00F2426D"/>
    <w:rsid w:val="00F251A6"/>
    <w:rsid w:val="00F2565C"/>
    <w:rsid w:val="00F25C92"/>
    <w:rsid w:val="00F25CBD"/>
    <w:rsid w:val="00F25DAC"/>
    <w:rsid w:val="00F263E3"/>
    <w:rsid w:val="00F270E1"/>
    <w:rsid w:val="00F27A01"/>
    <w:rsid w:val="00F306D6"/>
    <w:rsid w:val="00F319AB"/>
    <w:rsid w:val="00F31CB5"/>
    <w:rsid w:val="00F3221E"/>
    <w:rsid w:val="00F338D9"/>
    <w:rsid w:val="00F33F3D"/>
    <w:rsid w:val="00F3419A"/>
    <w:rsid w:val="00F344CC"/>
    <w:rsid w:val="00F34675"/>
    <w:rsid w:val="00F34CB7"/>
    <w:rsid w:val="00F35AE2"/>
    <w:rsid w:val="00F35F20"/>
    <w:rsid w:val="00F35F33"/>
    <w:rsid w:val="00F361D1"/>
    <w:rsid w:val="00F3657C"/>
    <w:rsid w:val="00F36749"/>
    <w:rsid w:val="00F36E86"/>
    <w:rsid w:val="00F36EED"/>
    <w:rsid w:val="00F37295"/>
    <w:rsid w:val="00F37E20"/>
    <w:rsid w:val="00F4030F"/>
    <w:rsid w:val="00F404CF"/>
    <w:rsid w:val="00F40C34"/>
    <w:rsid w:val="00F40EF6"/>
    <w:rsid w:val="00F41FD5"/>
    <w:rsid w:val="00F42052"/>
    <w:rsid w:val="00F42B56"/>
    <w:rsid w:val="00F42BDC"/>
    <w:rsid w:val="00F4423B"/>
    <w:rsid w:val="00F442B4"/>
    <w:rsid w:val="00F44C02"/>
    <w:rsid w:val="00F44DC5"/>
    <w:rsid w:val="00F44F4F"/>
    <w:rsid w:val="00F455C3"/>
    <w:rsid w:val="00F45663"/>
    <w:rsid w:val="00F4590B"/>
    <w:rsid w:val="00F460CF"/>
    <w:rsid w:val="00F47BC8"/>
    <w:rsid w:val="00F500D5"/>
    <w:rsid w:val="00F50411"/>
    <w:rsid w:val="00F50A51"/>
    <w:rsid w:val="00F51205"/>
    <w:rsid w:val="00F51346"/>
    <w:rsid w:val="00F51AA2"/>
    <w:rsid w:val="00F52CD7"/>
    <w:rsid w:val="00F53145"/>
    <w:rsid w:val="00F5325A"/>
    <w:rsid w:val="00F536D9"/>
    <w:rsid w:val="00F53E11"/>
    <w:rsid w:val="00F54106"/>
    <w:rsid w:val="00F54E07"/>
    <w:rsid w:val="00F55969"/>
    <w:rsid w:val="00F55AB1"/>
    <w:rsid w:val="00F5749D"/>
    <w:rsid w:val="00F57893"/>
    <w:rsid w:val="00F57AAA"/>
    <w:rsid w:val="00F60087"/>
    <w:rsid w:val="00F60127"/>
    <w:rsid w:val="00F60574"/>
    <w:rsid w:val="00F608C7"/>
    <w:rsid w:val="00F62003"/>
    <w:rsid w:val="00F634C6"/>
    <w:rsid w:val="00F637FE"/>
    <w:rsid w:val="00F638D7"/>
    <w:rsid w:val="00F64102"/>
    <w:rsid w:val="00F64E7C"/>
    <w:rsid w:val="00F6518E"/>
    <w:rsid w:val="00F65453"/>
    <w:rsid w:val="00F6561F"/>
    <w:rsid w:val="00F656D2"/>
    <w:rsid w:val="00F66203"/>
    <w:rsid w:val="00F66315"/>
    <w:rsid w:val="00F66908"/>
    <w:rsid w:val="00F66E44"/>
    <w:rsid w:val="00F67046"/>
    <w:rsid w:val="00F67226"/>
    <w:rsid w:val="00F705EE"/>
    <w:rsid w:val="00F70781"/>
    <w:rsid w:val="00F71728"/>
    <w:rsid w:val="00F7172C"/>
    <w:rsid w:val="00F724AB"/>
    <w:rsid w:val="00F731B1"/>
    <w:rsid w:val="00F731DF"/>
    <w:rsid w:val="00F73939"/>
    <w:rsid w:val="00F73B84"/>
    <w:rsid w:val="00F7417F"/>
    <w:rsid w:val="00F7490D"/>
    <w:rsid w:val="00F75445"/>
    <w:rsid w:val="00F7584D"/>
    <w:rsid w:val="00F7601F"/>
    <w:rsid w:val="00F761D4"/>
    <w:rsid w:val="00F766B4"/>
    <w:rsid w:val="00F76883"/>
    <w:rsid w:val="00F76CA9"/>
    <w:rsid w:val="00F7702C"/>
    <w:rsid w:val="00F80397"/>
    <w:rsid w:val="00F80860"/>
    <w:rsid w:val="00F80A73"/>
    <w:rsid w:val="00F81036"/>
    <w:rsid w:val="00F81366"/>
    <w:rsid w:val="00F815F2"/>
    <w:rsid w:val="00F8169E"/>
    <w:rsid w:val="00F8170F"/>
    <w:rsid w:val="00F81FE4"/>
    <w:rsid w:val="00F8235C"/>
    <w:rsid w:val="00F824B4"/>
    <w:rsid w:val="00F82BC1"/>
    <w:rsid w:val="00F82C8A"/>
    <w:rsid w:val="00F8321C"/>
    <w:rsid w:val="00F84674"/>
    <w:rsid w:val="00F84CF3"/>
    <w:rsid w:val="00F84D5E"/>
    <w:rsid w:val="00F85044"/>
    <w:rsid w:val="00F850CD"/>
    <w:rsid w:val="00F85508"/>
    <w:rsid w:val="00F855EE"/>
    <w:rsid w:val="00F8666A"/>
    <w:rsid w:val="00F8755A"/>
    <w:rsid w:val="00F87632"/>
    <w:rsid w:val="00F9005B"/>
    <w:rsid w:val="00F90B09"/>
    <w:rsid w:val="00F930CE"/>
    <w:rsid w:val="00F930D8"/>
    <w:rsid w:val="00F93576"/>
    <w:rsid w:val="00F93DFA"/>
    <w:rsid w:val="00F950D0"/>
    <w:rsid w:val="00F95B17"/>
    <w:rsid w:val="00F95B77"/>
    <w:rsid w:val="00F95EAA"/>
    <w:rsid w:val="00F96150"/>
    <w:rsid w:val="00F9638B"/>
    <w:rsid w:val="00F96552"/>
    <w:rsid w:val="00F96B69"/>
    <w:rsid w:val="00F97556"/>
    <w:rsid w:val="00FA0680"/>
    <w:rsid w:val="00FA1AAF"/>
    <w:rsid w:val="00FA1D14"/>
    <w:rsid w:val="00FA209C"/>
    <w:rsid w:val="00FA236E"/>
    <w:rsid w:val="00FA2701"/>
    <w:rsid w:val="00FA29A2"/>
    <w:rsid w:val="00FA31BF"/>
    <w:rsid w:val="00FA3797"/>
    <w:rsid w:val="00FA3C73"/>
    <w:rsid w:val="00FA4775"/>
    <w:rsid w:val="00FA4F67"/>
    <w:rsid w:val="00FA5C4B"/>
    <w:rsid w:val="00FA5DCF"/>
    <w:rsid w:val="00FA6202"/>
    <w:rsid w:val="00FA640B"/>
    <w:rsid w:val="00FA6A3C"/>
    <w:rsid w:val="00FA6AB8"/>
    <w:rsid w:val="00FB065E"/>
    <w:rsid w:val="00FB0DE1"/>
    <w:rsid w:val="00FB0E81"/>
    <w:rsid w:val="00FB11C3"/>
    <w:rsid w:val="00FB12CD"/>
    <w:rsid w:val="00FB12E3"/>
    <w:rsid w:val="00FB16C8"/>
    <w:rsid w:val="00FB1820"/>
    <w:rsid w:val="00FB19A6"/>
    <w:rsid w:val="00FB21DE"/>
    <w:rsid w:val="00FB24B6"/>
    <w:rsid w:val="00FB3550"/>
    <w:rsid w:val="00FB40E4"/>
    <w:rsid w:val="00FB4C23"/>
    <w:rsid w:val="00FB5836"/>
    <w:rsid w:val="00FB5A77"/>
    <w:rsid w:val="00FB6B72"/>
    <w:rsid w:val="00FB6F44"/>
    <w:rsid w:val="00FB7307"/>
    <w:rsid w:val="00FB79DB"/>
    <w:rsid w:val="00FC0243"/>
    <w:rsid w:val="00FC1154"/>
    <w:rsid w:val="00FC1DD8"/>
    <w:rsid w:val="00FC2422"/>
    <w:rsid w:val="00FC27E0"/>
    <w:rsid w:val="00FC33C8"/>
    <w:rsid w:val="00FC3D23"/>
    <w:rsid w:val="00FC3E06"/>
    <w:rsid w:val="00FC4AF8"/>
    <w:rsid w:val="00FC4E5E"/>
    <w:rsid w:val="00FC56C5"/>
    <w:rsid w:val="00FC5782"/>
    <w:rsid w:val="00FC5A95"/>
    <w:rsid w:val="00FC639D"/>
    <w:rsid w:val="00FC7E68"/>
    <w:rsid w:val="00FD01E1"/>
    <w:rsid w:val="00FD0A6B"/>
    <w:rsid w:val="00FD1418"/>
    <w:rsid w:val="00FD1A30"/>
    <w:rsid w:val="00FD233D"/>
    <w:rsid w:val="00FD2A93"/>
    <w:rsid w:val="00FD2DEB"/>
    <w:rsid w:val="00FD314B"/>
    <w:rsid w:val="00FD3573"/>
    <w:rsid w:val="00FD3EFF"/>
    <w:rsid w:val="00FD4270"/>
    <w:rsid w:val="00FD4C67"/>
    <w:rsid w:val="00FD4F61"/>
    <w:rsid w:val="00FD5ADE"/>
    <w:rsid w:val="00FD5D5B"/>
    <w:rsid w:val="00FD5DD3"/>
    <w:rsid w:val="00FD62AB"/>
    <w:rsid w:val="00FD6342"/>
    <w:rsid w:val="00FD6961"/>
    <w:rsid w:val="00FD72C6"/>
    <w:rsid w:val="00FD7C41"/>
    <w:rsid w:val="00FD7D02"/>
    <w:rsid w:val="00FD7FB3"/>
    <w:rsid w:val="00FE053B"/>
    <w:rsid w:val="00FE0638"/>
    <w:rsid w:val="00FE06A8"/>
    <w:rsid w:val="00FE1124"/>
    <w:rsid w:val="00FE11B8"/>
    <w:rsid w:val="00FE1917"/>
    <w:rsid w:val="00FE1DDB"/>
    <w:rsid w:val="00FE1F90"/>
    <w:rsid w:val="00FE2F25"/>
    <w:rsid w:val="00FE3844"/>
    <w:rsid w:val="00FE3A6F"/>
    <w:rsid w:val="00FE3E19"/>
    <w:rsid w:val="00FE47E1"/>
    <w:rsid w:val="00FE495D"/>
    <w:rsid w:val="00FE50E9"/>
    <w:rsid w:val="00FE5768"/>
    <w:rsid w:val="00FE58FA"/>
    <w:rsid w:val="00FE615A"/>
    <w:rsid w:val="00FE73AC"/>
    <w:rsid w:val="00FE7AC4"/>
    <w:rsid w:val="00FE7E1C"/>
    <w:rsid w:val="00FF03FD"/>
    <w:rsid w:val="00FF08F5"/>
    <w:rsid w:val="00FF0E77"/>
    <w:rsid w:val="00FF116E"/>
    <w:rsid w:val="00FF2129"/>
    <w:rsid w:val="00FF21A4"/>
    <w:rsid w:val="00FF21DC"/>
    <w:rsid w:val="00FF2B7E"/>
    <w:rsid w:val="00FF3806"/>
    <w:rsid w:val="00FF3ACF"/>
    <w:rsid w:val="00FF3E9B"/>
    <w:rsid w:val="00FF3F27"/>
    <w:rsid w:val="00FF3FC9"/>
    <w:rsid w:val="00FF46D8"/>
    <w:rsid w:val="00FF51BD"/>
    <w:rsid w:val="00FF582B"/>
    <w:rsid w:val="00FF5AFB"/>
    <w:rsid w:val="00FF617B"/>
    <w:rsid w:val="00FF6266"/>
    <w:rsid w:val="00FF62C4"/>
    <w:rsid w:val="00FF7078"/>
    <w:rsid w:val="00FF71D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fill="f" fillcolor="white" stroke="f">
      <v:fill color="white" on="f"/>
      <v:stroke on="f"/>
    </o:shapedefaults>
    <o:shapelayout v:ext="edit">
      <o:idmap v:ext="edit" data="1"/>
    </o:shapelayout>
  </w:shapeDefaults>
  <w:decimalSymbol w:val=","/>
  <w:listSeparator w:val=";"/>
  <w15:docId w15:val="{3CCD9ACF-04E1-45CB-8117-062252F9F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211B"/>
    <w:rPr>
      <w:sz w:val="24"/>
      <w:szCs w:val="24"/>
      <w:lang w:val="en-GB" w:eastAsia="pt-PT"/>
    </w:rPr>
  </w:style>
  <w:style w:type="paragraph" w:styleId="Ttulo1">
    <w:name w:val="heading 1"/>
    <w:basedOn w:val="Normal"/>
    <w:next w:val="Normal"/>
    <w:qFormat/>
    <w:rsid w:val="00D4211B"/>
    <w:pPr>
      <w:keepNext/>
      <w:numPr>
        <w:numId w:val="1"/>
      </w:numPr>
      <w:spacing w:before="240" w:after="120"/>
      <w:jc w:val="both"/>
      <w:outlineLvl w:val="0"/>
    </w:pPr>
    <w:rPr>
      <w:rFonts w:ascii="Arial" w:hAnsi="Arial" w:cs="Arial"/>
      <w:b/>
      <w:bCs/>
      <w:kern w:val="32"/>
      <w:sz w:val="32"/>
      <w:szCs w:val="32"/>
    </w:rPr>
  </w:style>
  <w:style w:type="paragraph" w:styleId="Cabealho2">
    <w:name w:val="heading 2"/>
    <w:basedOn w:val="Normal"/>
    <w:next w:val="Normal"/>
    <w:qFormat/>
    <w:rsid w:val="00D4211B"/>
    <w:pPr>
      <w:keepNext/>
      <w:numPr>
        <w:ilvl w:val="1"/>
        <w:numId w:val="1"/>
      </w:numPr>
      <w:spacing w:before="360" w:after="240"/>
      <w:outlineLvl w:val="1"/>
    </w:pPr>
    <w:rPr>
      <w:rFonts w:ascii="Arial" w:hAnsi="Arial" w:cs="Arial"/>
      <w:b/>
      <w:bCs/>
      <w:i/>
      <w:iCs/>
      <w:sz w:val="28"/>
      <w:szCs w:val="28"/>
    </w:rPr>
  </w:style>
  <w:style w:type="paragraph" w:styleId="Cabealho3">
    <w:name w:val="heading 3"/>
    <w:basedOn w:val="Normal"/>
    <w:next w:val="Normal"/>
    <w:qFormat/>
    <w:rsid w:val="00D4211B"/>
    <w:pPr>
      <w:keepNext/>
      <w:numPr>
        <w:ilvl w:val="2"/>
        <w:numId w:val="1"/>
      </w:numPr>
      <w:spacing w:before="240" w:after="240"/>
      <w:outlineLvl w:val="2"/>
    </w:pPr>
    <w:rPr>
      <w:rFonts w:ascii="Arial" w:hAnsi="Arial" w:cs="Arial"/>
      <w:b/>
      <w:bCs/>
      <w:sz w:val="26"/>
      <w:szCs w:val="26"/>
      <w:lang w:val="en-US"/>
    </w:rPr>
  </w:style>
  <w:style w:type="paragraph" w:styleId="Cabealho4">
    <w:name w:val="heading 4"/>
    <w:basedOn w:val="Normal"/>
    <w:next w:val="Normal"/>
    <w:qFormat/>
    <w:rsid w:val="00D4211B"/>
    <w:pPr>
      <w:keepNext/>
      <w:spacing w:before="240" w:after="240"/>
      <w:outlineLvl w:val="3"/>
    </w:pPr>
    <w:rPr>
      <w:b/>
      <w:bCs/>
      <w:szCs w:val="28"/>
      <w:lang w:val="en-US"/>
    </w:rPr>
  </w:style>
  <w:style w:type="paragraph" w:styleId="Cabealho5">
    <w:name w:val="heading 5"/>
    <w:basedOn w:val="Normal"/>
    <w:next w:val="Normal"/>
    <w:qFormat/>
    <w:rsid w:val="00D4211B"/>
    <w:pPr>
      <w:numPr>
        <w:ilvl w:val="4"/>
        <w:numId w:val="1"/>
      </w:numPr>
      <w:spacing w:before="240" w:after="60"/>
      <w:outlineLvl w:val="4"/>
    </w:pPr>
    <w:rPr>
      <w:b/>
      <w:bCs/>
      <w:i/>
      <w:iCs/>
      <w:sz w:val="26"/>
      <w:szCs w:val="26"/>
    </w:rPr>
  </w:style>
  <w:style w:type="paragraph" w:styleId="Cabealho6">
    <w:name w:val="heading 6"/>
    <w:basedOn w:val="Normal"/>
    <w:next w:val="Normal"/>
    <w:qFormat/>
    <w:rsid w:val="00D4211B"/>
    <w:pPr>
      <w:numPr>
        <w:ilvl w:val="5"/>
        <w:numId w:val="1"/>
      </w:numPr>
      <w:spacing w:before="240" w:after="60"/>
      <w:outlineLvl w:val="5"/>
    </w:pPr>
    <w:rPr>
      <w:b/>
      <w:bCs/>
      <w:sz w:val="22"/>
      <w:szCs w:val="22"/>
    </w:rPr>
  </w:style>
  <w:style w:type="paragraph" w:styleId="Cabealho7">
    <w:name w:val="heading 7"/>
    <w:basedOn w:val="Normal"/>
    <w:next w:val="Normal"/>
    <w:qFormat/>
    <w:rsid w:val="00D4211B"/>
    <w:pPr>
      <w:numPr>
        <w:ilvl w:val="6"/>
        <w:numId w:val="1"/>
      </w:numPr>
      <w:spacing w:before="240" w:after="60"/>
      <w:outlineLvl w:val="6"/>
    </w:pPr>
  </w:style>
  <w:style w:type="paragraph" w:styleId="Cabealho8">
    <w:name w:val="heading 8"/>
    <w:basedOn w:val="Normal"/>
    <w:next w:val="Normal"/>
    <w:qFormat/>
    <w:rsid w:val="00D4211B"/>
    <w:pPr>
      <w:numPr>
        <w:ilvl w:val="7"/>
        <w:numId w:val="1"/>
      </w:numPr>
      <w:spacing w:before="240" w:after="60"/>
      <w:outlineLvl w:val="7"/>
    </w:pPr>
    <w:rPr>
      <w:i/>
      <w:iCs/>
    </w:rPr>
  </w:style>
  <w:style w:type="paragraph" w:styleId="Cabealho9">
    <w:name w:val="heading 9"/>
    <w:basedOn w:val="Normal"/>
    <w:next w:val="Normal"/>
    <w:qFormat/>
    <w:rsid w:val="00D4211B"/>
    <w:pPr>
      <w:numPr>
        <w:ilvl w:val="8"/>
        <w:numId w:val="1"/>
      </w:numPr>
      <w:spacing w:before="240" w:after="60"/>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1">
    <w:name w:val="toc 1"/>
    <w:basedOn w:val="Normal"/>
    <w:next w:val="Normal"/>
    <w:autoRedefine/>
    <w:uiPriority w:val="39"/>
    <w:qFormat/>
    <w:rsid w:val="00D4211B"/>
    <w:pPr>
      <w:spacing w:before="120" w:after="120"/>
    </w:pPr>
    <w:rPr>
      <w:b/>
      <w:caps/>
      <w:sz w:val="20"/>
    </w:rPr>
  </w:style>
  <w:style w:type="paragraph" w:styleId="Corpodetexto2">
    <w:name w:val="Body Text 2"/>
    <w:basedOn w:val="Normal"/>
    <w:semiHidden/>
    <w:rsid w:val="00D4211B"/>
    <w:pPr>
      <w:spacing w:line="360" w:lineRule="auto"/>
      <w:jc w:val="center"/>
    </w:pPr>
    <w:rPr>
      <w:b/>
      <w:smallCaps/>
      <w:sz w:val="28"/>
      <w:u w:val="double"/>
    </w:rPr>
  </w:style>
  <w:style w:type="character" w:styleId="Refdenotaderodap">
    <w:name w:val="footnote reference"/>
    <w:uiPriority w:val="99"/>
    <w:semiHidden/>
    <w:rsid w:val="00D4211B"/>
    <w:rPr>
      <w:vertAlign w:val="superscript"/>
    </w:rPr>
  </w:style>
  <w:style w:type="paragraph" w:styleId="Avanodecorpodetexto">
    <w:name w:val="Body Text Indent"/>
    <w:basedOn w:val="Normal"/>
    <w:link w:val="AvanodecorpodetextoCarter"/>
    <w:semiHidden/>
    <w:rsid w:val="00D4211B"/>
    <w:pPr>
      <w:spacing w:line="360" w:lineRule="auto"/>
      <w:ind w:firstLine="708"/>
      <w:jc w:val="both"/>
    </w:pPr>
  </w:style>
  <w:style w:type="paragraph" w:styleId="Corpodetexto">
    <w:name w:val="Body Text"/>
    <w:basedOn w:val="Normal"/>
    <w:semiHidden/>
    <w:rsid w:val="00D4211B"/>
    <w:pPr>
      <w:spacing w:line="360" w:lineRule="auto"/>
      <w:jc w:val="both"/>
    </w:pPr>
  </w:style>
  <w:style w:type="paragraph" w:styleId="Textodenotaderodap">
    <w:name w:val="footnote text"/>
    <w:basedOn w:val="Normal"/>
    <w:link w:val="TextodenotaderodapCarter"/>
    <w:uiPriority w:val="99"/>
    <w:semiHidden/>
    <w:rsid w:val="00D4211B"/>
    <w:rPr>
      <w:sz w:val="20"/>
      <w:szCs w:val="20"/>
    </w:rPr>
  </w:style>
  <w:style w:type="paragraph" w:styleId="Legenda">
    <w:name w:val="caption"/>
    <w:basedOn w:val="Normal"/>
    <w:next w:val="Normal"/>
    <w:link w:val="LegendaCarter"/>
    <w:qFormat/>
    <w:rsid w:val="00D4211B"/>
    <w:pPr>
      <w:spacing w:before="120" w:after="120"/>
    </w:pPr>
    <w:rPr>
      <w:b/>
      <w:bCs/>
      <w:sz w:val="20"/>
      <w:szCs w:val="20"/>
    </w:rPr>
  </w:style>
  <w:style w:type="paragraph" w:styleId="ndicedeilustraes">
    <w:name w:val="table of figures"/>
    <w:basedOn w:val="Normal"/>
    <w:next w:val="Normal"/>
    <w:uiPriority w:val="99"/>
    <w:rsid w:val="00D4211B"/>
    <w:pPr>
      <w:ind w:left="480" w:hanging="480"/>
    </w:pPr>
    <w:rPr>
      <w:rFonts w:ascii="Calibri" w:hAnsi="Calibri"/>
      <w:caps/>
      <w:sz w:val="20"/>
      <w:szCs w:val="20"/>
    </w:rPr>
  </w:style>
  <w:style w:type="character" w:styleId="Hiperligao">
    <w:name w:val="Hyperlink"/>
    <w:uiPriority w:val="99"/>
    <w:rsid w:val="00D4211B"/>
    <w:rPr>
      <w:color w:val="0000FF"/>
      <w:u w:val="single"/>
    </w:rPr>
  </w:style>
  <w:style w:type="paragraph" w:styleId="ndice2">
    <w:name w:val="toc 2"/>
    <w:basedOn w:val="Normal"/>
    <w:next w:val="Normal"/>
    <w:autoRedefine/>
    <w:uiPriority w:val="39"/>
    <w:qFormat/>
    <w:rsid w:val="00F930D8"/>
    <w:pPr>
      <w:tabs>
        <w:tab w:val="right" w:leader="dot" w:pos="8494"/>
      </w:tabs>
      <w:ind w:left="240"/>
      <w:jc w:val="both"/>
    </w:pPr>
    <w:rPr>
      <w:smallCaps/>
      <w:sz w:val="20"/>
    </w:rPr>
  </w:style>
  <w:style w:type="paragraph" w:styleId="ndice3">
    <w:name w:val="toc 3"/>
    <w:basedOn w:val="Normal"/>
    <w:next w:val="Normal"/>
    <w:autoRedefine/>
    <w:uiPriority w:val="39"/>
    <w:qFormat/>
    <w:rsid w:val="00A4145B"/>
    <w:pPr>
      <w:tabs>
        <w:tab w:val="left" w:pos="1440"/>
        <w:tab w:val="right" w:leader="dot" w:pos="8494"/>
      </w:tabs>
      <w:ind w:left="480"/>
      <w:jc w:val="both"/>
    </w:pPr>
    <w:rPr>
      <w:i/>
      <w:sz w:val="20"/>
    </w:rPr>
  </w:style>
  <w:style w:type="paragraph" w:styleId="ndice4">
    <w:name w:val="toc 4"/>
    <w:basedOn w:val="Normal"/>
    <w:next w:val="Normal"/>
    <w:autoRedefine/>
    <w:uiPriority w:val="39"/>
    <w:rsid w:val="00C465D5"/>
    <w:pPr>
      <w:tabs>
        <w:tab w:val="right" w:leader="dot" w:pos="8494"/>
      </w:tabs>
      <w:ind w:left="720"/>
    </w:pPr>
    <w:rPr>
      <w:sz w:val="18"/>
    </w:rPr>
  </w:style>
  <w:style w:type="paragraph" w:styleId="ndice5">
    <w:name w:val="toc 5"/>
    <w:basedOn w:val="Normal"/>
    <w:next w:val="Normal"/>
    <w:autoRedefine/>
    <w:semiHidden/>
    <w:rsid w:val="00D4211B"/>
    <w:pPr>
      <w:ind w:left="960"/>
    </w:pPr>
    <w:rPr>
      <w:sz w:val="18"/>
    </w:rPr>
  </w:style>
  <w:style w:type="paragraph" w:styleId="ndice6">
    <w:name w:val="toc 6"/>
    <w:basedOn w:val="Normal"/>
    <w:next w:val="Normal"/>
    <w:autoRedefine/>
    <w:semiHidden/>
    <w:rsid w:val="00D4211B"/>
    <w:pPr>
      <w:ind w:left="1200"/>
    </w:pPr>
    <w:rPr>
      <w:sz w:val="18"/>
    </w:rPr>
  </w:style>
  <w:style w:type="paragraph" w:styleId="ndice7">
    <w:name w:val="toc 7"/>
    <w:basedOn w:val="Normal"/>
    <w:next w:val="Normal"/>
    <w:autoRedefine/>
    <w:semiHidden/>
    <w:rsid w:val="00D4211B"/>
    <w:pPr>
      <w:ind w:left="1440"/>
    </w:pPr>
    <w:rPr>
      <w:sz w:val="18"/>
    </w:rPr>
  </w:style>
  <w:style w:type="paragraph" w:styleId="ndice8">
    <w:name w:val="toc 8"/>
    <w:basedOn w:val="Normal"/>
    <w:next w:val="Normal"/>
    <w:autoRedefine/>
    <w:semiHidden/>
    <w:rsid w:val="00D4211B"/>
    <w:pPr>
      <w:ind w:left="1680"/>
    </w:pPr>
    <w:rPr>
      <w:sz w:val="18"/>
    </w:rPr>
  </w:style>
  <w:style w:type="paragraph" w:styleId="ndice9">
    <w:name w:val="toc 9"/>
    <w:basedOn w:val="Normal"/>
    <w:next w:val="Normal"/>
    <w:autoRedefine/>
    <w:semiHidden/>
    <w:rsid w:val="00D4211B"/>
    <w:pPr>
      <w:ind w:left="1920"/>
    </w:pPr>
    <w:rPr>
      <w:sz w:val="18"/>
    </w:rPr>
  </w:style>
  <w:style w:type="paragraph" w:styleId="Rodap">
    <w:name w:val="footer"/>
    <w:basedOn w:val="Normal"/>
    <w:link w:val="RodapCarter"/>
    <w:uiPriority w:val="99"/>
    <w:rsid w:val="00D4211B"/>
    <w:pPr>
      <w:tabs>
        <w:tab w:val="center" w:pos="4252"/>
        <w:tab w:val="right" w:pos="8504"/>
      </w:tabs>
    </w:pPr>
  </w:style>
  <w:style w:type="character" w:styleId="Nmerodepgina">
    <w:name w:val="page number"/>
    <w:basedOn w:val="Tipodeletrapredefinidodopargrafo"/>
    <w:semiHidden/>
    <w:rsid w:val="00D4211B"/>
  </w:style>
  <w:style w:type="paragraph" w:styleId="Cabealho">
    <w:name w:val="header"/>
    <w:basedOn w:val="Normal"/>
    <w:semiHidden/>
    <w:rsid w:val="00D4211B"/>
    <w:pPr>
      <w:tabs>
        <w:tab w:val="center" w:pos="4252"/>
        <w:tab w:val="right" w:pos="8504"/>
      </w:tabs>
      <w:jc w:val="center"/>
    </w:pPr>
    <w:rPr>
      <w:rFonts w:ascii="Arial" w:hAnsi="Arial"/>
      <w:b/>
      <w:caps/>
      <w:sz w:val="32"/>
    </w:rPr>
  </w:style>
  <w:style w:type="character" w:styleId="Hiperligaovisitada">
    <w:name w:val="FollowedHyperlink"/>
    <w:semiHidden/>
    <w:rsid w:val="00D4211B"/>
    <w:rPr>
      <w:color w:val="800080"/>
      <w:u w:val="single"/>
    </w:rPr>
  </w:style>
  <w:style w:type="paragraph" w:styleId="Mapadodocumento">
    <w:name w:val="Document Map"/>
    <w:basedOn w:val="Normal"/>
    <w:semiHidden/>
    <w:rsid w:val="00D4211B"/>
    <w:pPr>
      <w:shd w:val="clear" w:color="auto" w:fill="000080"/>
    </w:pPr>
    <w:rPr>
      <w:rFonts w:ascii="Tahoma" w:hAnsi="Tahoma"/>
    </w:rPr>
  </w:style>
  <w:style w:type="character" w:styleId="Forte">
    <w:name w:val="Strong"/>
    <w:uiPriority w:val="22"/>
    <w:qFormat/>
    <w:rsid w:val="00D4211B"/>
    <w:rPr>
      <w:b/>
      <w:bCs/>
    </w:rPr>
  </w:style>
  <w:style w:type="paragraph" w:styleId="Corpodetexto3">
    <w:name w:val="Body Text 3"/>
    <w:basedOn w:val="Normal"/>
    <w:semiHidden/>
    <w:rsid w:val="00D4211B"/>
    <w:pPr>
      <w:jc w:val="both"/>
    </w:pPr>
    <w:rPr>
      <w:b/>
      <w:bCs/>
      <w:i/>
      <w:iCs/>
      <w:u w:val="single"/>
    </w:rPr>
  </w:style>
  <w:style w:type="character" w:customStyle="1" w:styleId="goohl0">
    <w:name w:val="goohl0"/>
    <w:basedOn w:val="Tipodeletrapredefinidodopargrafo"/>
    <w:rsid w:val="00D4211B"/>
  </w:style>
  <w:style w:type="character" w:customStyle="1" w:styleId="goohl1">
    <w:name w:val="goohl1"/>
    <w:basedOn w:val="Tipodeletrapredefinidodopargrafo"/>
    <w:rsid w:val="00D4211B"/>
  </w:style>
  <w:style w:type="character" w:customStyle="1" w:styleId="goohl4">
    <w:name w:val="goohl4"/>
    <w:basedOn w:val="Tipodeletrapredefinidodopargrafo"/>
    <w:rsid w:val="00D4211B"/>
  </w:style>
  <w:style w:type="character" w:customStyle="1" w:styleId="goohl2">
    <w:name w:val="goohl2"/>
    <w:basedOn w:val="Tipodeletrapredefinidodopargrafo"/>
    <w:rsid w:val="00D4211B"/>
  </w:style>
  <w:style w:type="character" w:customStyle="1" w:styleId="goohl3">
    <w:name w:val="goohl3"/>
    <w:basedOn w:val="Tipodeletrapredefinidodopargrafo"/>
    <w:rsid w:val="00D4211B"/>
  </w:style>
  <w:style w:type="paragraph" w:styleId="Ttulo">
    <w:name w:val="Title"/>
    <w:basedOn w:val="Normal"/>
    <w:qFormat/>
    <w:rsid w:val="00D4211B"/>
    <w:pPr>
      <w:jc w:val="center"/>
    </w:pPr>
    <w:rPr>
      <w:szCs w:val="20"/>
    </w:rPr>
  </w:style>
  <w:style w:type="character" w:styleId="Refdecomentrio">
    <w:name w:val="annotation reference"/>
    <w:semiHidden/>
    <w:rsid w:val="00D4211B"/>
    <w:rPr>
      <w:sz w:val="16"/>
      <w:szCs w:val="16"/>
    </w:rPr>
  </w:style>
  <w:style w:type="paragraph" w:styleId="Textodecomentrio">
    <w:name w:val="annotation text"/>
    <w:basedOn w:val="Normal"/>
    <w:semiHidden/>
    <w:rsid w:val="00D4211B"/>
    <w:rPr>
      <w:sz w:val="20"/>
      <w:szCs w:val="20"/>
    </w:rPr>
  </w:style>
  <w:style w:type="paragraph" w:styleId="Assuntodecomentrio">
    <w:name w:val="annotation subject"/>
    <w:basedOn w:val="Textodecomentrio"/>
    <w:next w:val="Textodecomentrio"/>
    <w:semiHidden/>
    <w:rsid w:val="00D4211B"/>
    <w:rPr>
      <w:b/>
      <w:bCs/>
    </w:rPr>
  </w:style>
  <w:style w:type="paragraph" w:styleId="Textodebalo">
    <w:name w:val="Balloon Text"/>
    <w:basedOn w:val="Normal"/>
    <w:semiHidden/>
    <w:rsid w:val="00D4211B"/>
    <w:rPr>
      <w:rFonts w:ascii="Tahoma" w:hAnsi="Tahoma" w:cs="Tahoma"/>
      <w:sz w:val="16"/>
      <w:szCs w:val="16"/>
    </w:rPr>
  </w:style>
  <w:style w:type="paragraph" w:styleId="Textodenotadefim">
    <w:name w:val="endnote text"/>
    <w:basedOn w:val="Normal"/>
    <w:semiHidden/>
    <w:rsid w:val="00D4211B"/>
    <w:rPr>
      <w:sz w:val="20"/>
      <w:szCs w:val="20"/>
    </w:rPr>
  </w:style>
  <w:style w:type="character" w:styleId="Refdenotadefim">
    <w:name w:val="endnote reference"/>
    <w:semiHidden/>
    <w:rsid w:val="00D4211B"/>
    <w:rPr>
      <w:vertAlign w:val="superscript"/>
    </w:rPr>
  </w:style>
  <w:style w:type="paragraph" w:styleId="Avanodecorpodetexto2">
    <w:name w:val="Body Text Indent 2"/>
    <w:basedOn w:val="Normal"/>
    <w:semiHidden/>
    <w:rsid w:val="00D4211B"/>
    <w:pPr>
      <w:ind w:left="708"/>
      <w:jc w:val="both"/>
    </w:pPr>
    <w:rPr>
      <w:sz w:val="20"/>
    </w:rPr>
  </w:style>
  <w:style w:type="paragraph" w:styleId="Avanodecorpodetexto3">
    <w:name w:val="Body Text Indent 3"/>
    <w:basedOn w:val="Normal"/>
    <w:semiHidden/>
    <w:rsid w:val="00D4211B"/>
    <w:pPr>
      <w:spacing w:line="360" w:lineRule="auto"/>
      <w:ind w:firstLine="708"/>
      <w:jc w:val="both"/>
    </w:pPr>
    <w:rPr>
      <w:sz w:val="26"/>
      <w:lang w:val="en-US"/>
    </w:rPr>
  </w:style>
  <w:style w:type="character" w:styleId="MquinadeescreverHTML">
    <w:name w:val="HTML Typewriter"/>
    <w:semiHidden/>
    <w:rsid w:val="00D4211B"/>
    <w:rPr>
      <w:rFonts w:ascii="Courier New" w:eastAsia="Courier New" w:hAnsi="Courier New" w:cs="Courier New"/>
      <w:sz w:val="20"/>
      <w:szCs w:val="20"/>
    </w:rPr>
  </w:style>
  <w:style w:type="paragraph" w:styleId="ndiceremissivo1">
    <w:name w:val="index 1"/>
    <w:basedOn w:val="Normal"/>
    <w:next w:val="Normal"/>
    <w:autoRedefine/>
    <w:semiHidden/>
    <w:rsid w:val="00D4211B"/>
    <w:pPr>
      <w:ind w:left="240" w:hanging="240"/>
    </w:pPr>
  </w:style>
  <w:style w:type="paragraph" w:styleId="ndiceremissivo2">
    <w:name w:val="index 2"/>
    <w:basedOn w:val="Normal"/>
    <w:next w:val="Normal"/>
    <w:autoRedefine/>
    <w:semiHidden/>
    <w:rsid w:val="00D4211B"/>
    <w:pPr>
      <w:ind w:left="480" w:hanging="240"/>
    </w:pPr>
  </w:style>
  <w:style w:type="paragraph" w:styleId="ndiceremissivo3">
    <w:name w:val="index 3"/>
    <w:basedOn w:val="Normal"/>
    <w:next w:val="Normal"/>
    <w:autoRedefine/>
    <w:semiHidden/>
    <w:rsid w:val="00D4211B"/>
    <w:pPr>
      <w:ind w:left="720" w:hanging="240"/>
    </w:pPr>
  </w:style>
  <w:style w:type="paragraph" w:styleId="ndiceremissivo4">
    <w:name w:val="index 4"/>
    <w:basedOn w:val="Normal"/>
    <w:next w:val="Normal"/>
    <w:autoRedefine/>
    <w:semiHidden/>
    <w:rsid w:val="00D4211B"/>
    <w:pPr>
      <w:ind w:left="960" w:hanging="240"/>
    </w:pPr>
  </w:style>
  <w:style w:type="paragraph" w:styleId="ndiceremissivo5">
    <w:name w:val="index 5"/>
    <w:basedOn w:val="Normal"/>
    <w:next w:val="Normal"/>
    <w:autoRedefine/>
    <w:semiHidden/>
    <w:rsid w:val="00D4211B"/>
    <w:pPr>
      <w:ind w:left="1200" w:hanging="240"/>
    </w:pPr>
  </w:style>
  <w:style w:type="paragraph" w:styleId="ndiceremissivo6">
    <w:name w:val="index 6"/>
    <w:basedOn w:val="Normal"/>
    <w:next w:val="Normal"/>
    <w:autoRedefine/>
    <w:semiHidden/>
    <w:rsid w:val="00D4211B"/>
    <w:pPr>
      <w:ind w:left="1440" w:hanging="240"/>
    </w:pPr>
  </w:style>
  <w:style w:type="paragraph" w:styleId="ndiceremissivo7">
    <w:name w:val="index 7"/>
    <w:basedOn w:val="Normal"/>
    <w:next w:val="Normal"/>
    <w:autoRedefine/>
    <w:semiHidden/>
    <w:rsid w:val="00D4211B"/>
    <w:pPr>
      <w:ind w:left="1680" w:hanging="240"/>
    </w:pPr>
  </w:style>
  <w:style w:type="paragraph" w:styleId="ndiceremissivo8">
    <w:name w:val="index 8"/>
    <w:basedOn w:val="Normal"/>
    <w:next w:val="Normal"/>
    <w:autoRedefine/>
    <w:semiHidden/>
    <w:rsid w:val="00D4211B"/>
    <w:pPr>
      <w:ind w:left="1920" w:hanging="240"/>
    </w:pPr>
  </w:style>
  <w:style w:type="paragraph" w:styleId="ndiceremissivo9">
    <w:name w:val="index 9"/>
    <w:basedOn w:val="Normal"/>
    <w:next w:val="Normal"/>
    <w:autoRedefine/>
    <w:semiHidden/>
    <w:rsid w:val="00D4211B"/>
    <w:pPr>
      <w:ind w:left="2160" w:hanging="240"/>
    </w:pPr>
  </w:style>
  <w:style w:type="paragraph" w:styleId="Cabealhodendiceremissivo">
    <w:name w:val="index heading"/>
    <w:basedOn w:val="Normal"/>
    <w:next w:val="ndiceremissivo1"/>
    <w:semiHidden/>
    <w:rsid w:val="00D4211B"/>
    <w:pPr>
      <w:spacing w:before="120" w:after="120"/>
    </w:pPr>
    <w:rPr>
      <w:b/>
      <w:bCs/>
      <w:i/>
      <w:iCs/>
    </w:rPr>
  </w:style>
  <w:style w:type="character" w:customStyle="1" w:styleId="txtterm1">
    <w:name w:val="txtterm1"/>
    <w:rsid w:val="00D4211B"/>
    <w:rPr>
      <w:rFonts w:ascii="Times New Roman" w:hAnsi="Times New Roman" w:cs="Times New Roman" w:hint="default"/>
      <w:b/>
      <w:bCs/>
      <w:color w:val="000000"/>
      <w:sz w:val="22"/>
      <w:szCs w:val="22"/>
    </w:rPr>
  </w:style>
  <w:style w:type="character" w:customStyle="1" w:styleId="apple-converted-space">
    <w:name w:val="apple-converted-space"/>
    <w:basedOn w:val="Tipodeletrapredefinidodopargrafo"/>
    <w:rsid w:val="00D8025B"/>
  </w:style>
  <w:style w:type="paragraph" w:styleId="NormalWeb">
    <w:name w:val="Normal (Web)"/>
    <w:basedOn w:val="Normal"/>
    <w:uiPriority w:val="99"/>
    <w:semiHidden/>
    <w:unhideWhenUsed/>
    <w:rsid w:val="008B6080"/>
    <w:pPr>
      <w:spacing w:before="100" w:beforeAutospacing="1" w:after="100" w:afterAutospacing="1"/>
    </w:pPr>
    <w:rPr>
      <w:lang w:val="en-US" w:eastAsia="en-US"/>
    </w:rPr>
  </w:style>
  <w:style w:type="character" w:styleId="nfase">
    <w:name w:val="Emphasis"/>
    <w:uiPriority w:val="20"/>
    <w:qFormat/>
    <w:rsid w:val="008B6080"/>
    <w:rPr>
      <w:i/>
      <w:iCs/>
    </w:rPr>
  </w:style>
  <w:style w:type="paragraph" w:customStyle="1" w:styleId="Default">
    <w:name w:val="Default"/>
    <w:rsid w:val="000903B2"/>
    <w:pPr>
      <w:autoSpaceDE w:val="0"/>
      <w:autoSpaceDN w:val="0"/>
      <w:adjustRightInd w:val="0"/>
    </w:pPr>
    <w:rPr>
      <w:rFonts w:ascii="Calibri" w:hAnsi="Calibri" w:cs="Calibri"/>
      <w:color w:val="000000"/>
      <w:sz w:val="24"/>
      <w:szCs w:val="24"/>
      <w:lang w:val="pt-PT" w:eastAsia="pt-PT"/>
    </w:rPr>
  </w:style>
  <w:style w:type="character" w:customStyle="1" w:styleId="TextodenotaderodapCarter">
    <w:name w:val="Texto de nota de rodapé Caráter"/>
    <w:link w:val="Textodenotaderodap"/>
    <w:uiPriority w:val="99"/>
    <w:semiHidden/>
    <w:locked/>
    <w:rsid w:val="000903B2"/>
    <w:rPr>
      <w:lang w:val="en-GB" w:eastAsia="pt-PT"/>
    </w:rPr>
  </w:style>
  <w:style w:type="character" w:customStyle="1" w:styleId="A6">
    <w:name w:val="A6"/>
    <w:uiPriority w:val="99"/>
    <w:rsid w:val="00933722"/>
    <w:rPr>
      <w:rFonts w:cs="FrnkGothITC Bk BT"/>
      <w:color w:val="000000"/>
      <w:sz w:val="35"/>
      <w:szCs w:val="35"/>
    </w:rPr>
  </w:style>
  <w:style w:type="table" w:styleId="TabelacomGrelha">
    <w:name w:val="Table Grid"/>
    <w:basedOn w:val="Tabelanormal"/>
    <w:uiPriority w:val="59"/>
    <w:rsid w:val="00A37DD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sc">
    <w:name w:val="desc"/>
    <w:basedOn w:val="Tipodeletrapredefinidodopargrafo"/>
    <w:rsid w:val="00DB5619"/>
  </w:style>
  <w:style w:type="paragraph" w:styleId="Listacommarcas">
    <w:name w:val="List Bullet"/>
    <w:basedOn w:val="Normal"/>
    <w:uiPriority w:val="99"/>
    <w:unhideWhenUsed/>
    <w:rsid w:val="00A94DE8"/>
    <w:pPr>
      <w:numPr>
        <w:numId w:val="2"/>
      </w:numPr>
      <w:contextualSpacing/>
    </w:pPr>
  </w:style>
  <w:style w:type="character" w:styleId="TextodoMarcadordePosio">
    <w:name w:val="Placeholder Text"/>
    <w:basedOn w:val="Tipodeletrapredefinidodopargrafo"/>
    <w:uiPriority w:val="99"/>
    <w:semiHidden/>
    <w:rsid w:val="005D575F"/>
    <w:rPr>
      <w:color w:val="808080"/>
    </w:rPr>
  </w:style>
  <w:style w:type="character" w:customStyle="1" w:styleId="reference-accessdate">
    <w:name w:val="reference-accessdate"/>
    <w:basedOn w:val="Tipodeletrapredefinidodopargrafo"/>
    <w:rsid w:val="00CE1F14"/>
  </w:style>
  <w:style w:type="paragraph" w:styleId="PargrafodaLista">
    <w:name w:val="List Paragraph"/>
    <w:basedOn w:val="Normal"/>
    <w:uiPriority w:val="34"/>
    <w:qFormat/>
    <w:rsid w:val="0089434C"/>
    <w:pPr>
      <w:ind w:left="720"/>
      <w:contextualSpacing/>
    </w:pPr>
  </w:style>
  <w:style w:type="paragraph" w:styleId="Cabealhodondice">
    <w:name w:val="TOC Heading"/>
    <w:basedOn w:val="Ttulo1"/>
    <w:next w:val="Normal"/>
    <w:uiPriority w:val="39"/>
    <w:unhideWhenUsed/>
    <w:qFormat/>
    <w:rsid w:val="003300ED"/>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pt-PT"/>
    </w:rPr>
  </w:style>
  <w:style w:type="paragraph" w:styleId="HTMLpr-formatado">
    <w:name w:val="HTML Preformatted"/>
    <w:basedOn w:val="Normal"/>
    <w:link w:val="HTMLpr-formatadoCarter"/>
    <w:uiPriority w:val="99"/>
    <w:semiHidden/>
    <w:unhideWhenUsed/>
    <w:rsid w:val="00302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PT"/>
    </w:rPr>
  </w:style>
  <w:style w:type="character" w:customStyle="1" w:styleId="HTMLpr-formatadoCarter">
    <w:name w:val="HTML pré-formatado Caráter"/>
    <w:basedOn w:val="Tipodeletrapredefinidodopargrafo"/>
    <w:link w:val="HTMLpr-formatado"/>
    <w:uiPriority w:val="99"/>
    <w:semiHidden/>
    <w:rsid w:val="003021A6"/>
    <w:rPr>
      <w:rFonts w:ascii="Courier New" w:hAnsi="Courier New" w:cs="Courier New"/>
      <w:lang w:val="pt-PT" w:eastAsia="pt-PT"/>
    </w:rPr>
  </w:style>
  <w:style w:type="character" w:customStyle="1" w:styleId="AvanodecorpodetextoCarter">
    <w:name w:val="Avanço de corpo de texto Caráter"/>
    <w:basedOn w:val="Tipodeletrapredefinidodopargrafo"/>
    <w:link w:val="Avanodecorpodetexto"/>
    <w:semiHidden/>
    <w:rsid w:val="002A604E"/>
    <w:rPr>
      <w:sz w:val="24"/>
      <w:szCs w:val="24"/>
      <w:lang w:val="en-GB" w:eastAsia="pt-PT"/>
    </w:rPr>
  </w:style>
  <w:style w:type="character" w:customStyle="1" w:styleId="shorttext">
    <w:name w:val="short_text"/>
    <w:basedOn w:val="Tipodeletrapredefinidodopargrafo"/>
    <w:rsid w:val="009E640A"/>
  </w:style>
  <w:style w:type="character" w:customStyle="1" w:styleId="RodapCarter">
    <w:name w:val="Rodapé Caráter"/>
    <w:basedOn w:val="Tipodeletrapredefinidodopargrafo"/>
    <w:link w:val="Rodap"/>
    <w:uiPriority w:val="99"/>
    <w:rsid w:val="007D1FB5"/>
    <w:rPr>
      <w:sz w:val="24"/>
      <w:szCs w:val="24"/>
      <w:lang w:val="en-GB" w:eastAsia="pt-PT"/>
    </w:rPr>
  </w:style>
  <w:style w:type="paragraph" w:customStyle="1" w:styleId="Figure">
    <w:name w:val="Figure"/>
    <w:basedOn w:val="Legenda"/>
    <w:link w:val="FigureCarcter"/>
    <w:qFormat/>
    <w:rsid w:val="003D4757"/>
    <w:pPr>
      <w:spacing w:after="0" w:line="360" w:lineRule="auto"/>
      <w:jc w:val="center"/>
    </w:pPr>
    <w:rPr>
      <w:b w:val="0"/>
      <w:smallCaps/>
      <w:sz w:val="24"/>
      <w:szCs w:val="24"/>
      <w:lang w:val="en-US"/>
    </w:rPr>
  </w:style>
  <w:style w:type="paragraph" w:customStyle="1" w:styleId="Table">
    <w:name w:val="Table"/>
    <w:basedOn w:val="Legenda"/>
    <w:link w:val="TableCarcter"/>
    <w:qFormat/>
    <w:rsid w:val="00F930D8"/>
    <w:pPr>
      <w:spacing w:after="0" w:line="360" w:lineRule="auto"/>
      <w:jc w:val="center"/>
    </w:pPr>
    <w:rPr>
      <w:b w:val="0"/>
      <w:smallCaps/>
      <w:sz w:val="24"/>
      <w:szCs w:val="24"/>
      <w:lang w:val="en-US"/>
    </w:rPr>
  </w:style>
  <w:style w:type="character" w:customStyle="1" w:styleId="LegendaCarter">
    <w:name w:val="Legenda Caráter"/>
    <w:basedOn w:val="Tipodeletrapredefinidodopargrafo"/>
    <w:link w:val="Legenda"/>
    <w:rsid w:val="003D4757"/>
    <w:rPr>
      <w:b/>
      <w:bCs/>
      <w:lang w:val="en-GB" w:eastAsia="pt-PT"/>
    </w:rPr>
  </w:style>
  <w:style w:type="character" w:customStyle="1" w:styleId="FigureCarcter">
    <w:name w:val="Figure Carácter"/>
    <w:basedOn w:val="LegendaCarter"/>
    <w:link w:val="Figure"/>
    <w:rsid w:val="003D4757"/>
    <w:rPr>
      <w:b w:val="0"/>
      <w:bCs/>
      <w:smallCaps/>
      <w:sz w:val="24"/>
      <w:szCs w:val="24"/>
      <w:lang w:val="en-GB" w:eastAsia="pt-PT"/>
    </w:rPr>
  </w:style>
  <w:style w:type="paragraph" w:customStyle="1" w:styleId="Index">
    <w:name w:val="Index"/>
    <w:basedOn w:val="Legenda"/>
    <w:link w:val="IndexCarcter"/>
    <w:qFormat/>
    <w:rsid w:val="00057585"/>
    <w:pPr>
      <w:spacing w:after="0" w:line="360" w:lineRule="auto"/>
      <w:jc w:val="center"/>
    </w:pPr>
    <w:rPr>
      <w:b w:val="0"/>
      <w:smallCaps/>
      <w:sz w:val="24"/>
      <w:szCs w:val="24"/>
      <w:lang w:val="en-US"/>
    </w:rPr>
  </w:style>
  <w:style w:type="character" w:customStyle="1" w:styleId="TableCarcter">
    <w:name w:val="Table Carácter"/>
    <w:basedOn w:val="LegendaCarter"/>
    <w:link w:val="Table"/>
    <w:rsid w:val="00F930D8"/>
    <w:rPr>
      <w:b w:val="0"/>
      <w:bCs/>
      <w:smallCaps/>
      <w:sz w:val="24"/>
      <w:szCs w:val="24"/>
      <w:lang w:val="en-GB" w:eastAsia="pt-PT"/>
    </w:rPr>
  </w:style>
  <w:style w:type="character" w:customStyle="1" w:styleId="IndexCarcter">
    <w:name w:val="Index Carácter"/>
    <w:basedOn w:val="LegendaCarter"/>
    <w:link w:val="Index"/>
    <w:rsid w:val="00057585"/>
    <w:rPr>
      <w:b w:val="0"/>
      <w:bCs/>
      <w:smallCaps/>
      <w:sz w:val="24"/>
      <w:szCs w:val="24"/>
      <w:lang w:val="en-GB" w:eastAsia="pt-PT"/>
    </w:rPr>
  </w:style>
  <w:style w:type="character" w:customStyle="1" w:styleId="cit-auth">
    <w:name w:val="cit-auth"/>
    <w:basedOn w:val="Tipodeletrapredefinidodopargrafo"/>
    <w:rsid w:val="009A4862"/>
  </w:style>
  <w:style w:type="character" w:customStyle="1" w:styleId="cit-sep">
    <w:name w:val="cit-sep"/>
    <w:basedOn w:val="Tipodeletrapredefinidodopargrafo"/>
    <w:rsid w:val="009A4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20280">
      <w:bodyDiv w:val="1"/>
      <w:marLeft w:val="0"/>
      <w:marRight w:val="0"/>
      <w:marTop w:val="0"/>
      <w:marBottom w:val="0"/>
      <w:divBdr>
        <w:top w:val="none" w:sz="0" w:space="0" w:color="auto"/>
        <w:left w:val="none" w:sz="0" w:space="0" w:color="auto"/>
        <w:bottom w:val="none" w:sz="0" w:space="0" w:color="auto"/>
        <w:right w:val="none" w:sz="0" w:space="0" w:color="auto"/>
      </w:divBdr>
      <w:divsChild>
        <w:div w:id="347682627">
          <w:blockQuote w:val="1"/>
          <w:marLeft w:val="510"/>
          <w:marRight w:val="510"/>
          <w:marTop w:val="240"/>
          <w:marBottom w:val="240"/>
          <w:divBdr>
            <w:top w:val="none" w:sz="0" w:space="0" w:color="auto"/>
            <w:left w:val="none" w:sz="0" w:space="0" w:color="auto"/>
            <w:bottom w:val="none" w:sz="0" w:space="0" w:color="auto"/>
            <w:right w:val="none" w:sz="0" w:space="0" w:color="auto"/>
          </w:divBdr>
        </w:div>
        <w:div w:id="623997962">
          <w:blockQuote w:val="1"/>
          <w:marLeft w:val="510"/>
          <w:marRight w:val="510"/>
          <w:marTop w:val="240"/>
          <w:marBottom w:val="240"/>
          <w:divBdr>
            <w:top w:val="none" w:sz="0" w:space="0" w:color="auto"/>
            <w:left w:val="none" w:sz="0" w:space="0" w:color="auto"/>
            <w:bottom w:val="none" w:sz="0" w:space="0" w:color="auto"/>
            <w:right w:val="none" w:sz="0" w:space="0" w:color="auto"/>
          </w:divBdr>
        </w:div>
        <w:div w:id="1380667535">
          <w:blockQuote w:val="1"/>
          <w:marLeft w:val="510"/>
          <w:marRight w:val="510"/>
          <w:marTop w:val="240"/>
          <w:marBottom w:val="240"/>
          <w:divBdr>
            <w:top w:val="none" w:sz="0" w:space="0" w:color="auto"/>
            <w:left w:val="none" w:sz="0" w:space="0" w:color="auto"/>
            <w:bottom w:val="none" w:sz="0" w:space="0" w:color="auto"/>
            <w:right w:val="none" w:sz="0" w:space="0" w:color="auto"/>
          </w:divBdr>
        </w:div>
        <w:div w:id="1610548241">
          <w:blockQuote w:val="1"/>
          <w:marLeft w:val="510"/>
          <w:marRight w:val="510"/>
          <w:marTop w:val="240"/>
          <w:marBottom w:val="240"/>
          <w:divBdr>
            <w:top w:val="none" w:sz="0" w:space="0" w:color="auto"/>
            <w:left w:val="none" w:sz="0" w:space="0" w:color="auto"/>
            <w:bottom w:val="none" w:sz="0" w:space="0" w:color="auto"/>
            <w:right w:val="none" w:sz="0" w:space="0" w:color="auto"/>
          </w:divBdr>
        </w:div>
      </w:divsChild>
    </w:div>
    <w:div w:id="226259506">
      <w:bodyDiv w:val="1"/>
      <w:marLeft w:val="0"/>
      <w:marRight w:val="0"/>
      <w:marTop w:val="0"/>
      <w:marBottom w:val="0"/>
      <w:divBdr>
        <w:top w:val="none" w:sz="0" w:space="0" w:color="auto"/>
        <w:left w:val="none" w:sz="0" w:space="0" w:color="auto"/>
        <w:bottom w:val="none" w:sz="0" w:space="0" w:color="auto"/>
        <w:right w:val="none" w:sz="0" w:space="0" w:color="auto"/>
      </w:divBdr>
    </w:div>
    <w:div w:id="326907448">
      <w:bodyDiv w:val="1"/>
      <w:marLeft w:val="0"/>
      <w:marRight w:val="0"/>
      <w:marTop w:val="0"/>
      <w:marBottom w:val="0"/>
      <w:divBdr>
        <w:top w:val="none" w:sz="0" w:space="0" w:color="auto"/>
        <w:left w:val="none" w:sz="0" w:space="0" w:color="auto"/>
        <w:bottom w:val="none" w:sz="0" w:space="0" w:color="auto"/>
        <w:right w:val="none" w:sz="0" w:space="0" w:color="auto"/>
      </w:divBdr>
    </w:div>
    <w:div w:id="330452009">
      <w:bodyDiv w:val="1"/>
      <w:marLeft w:val="0"/>
      <w:marRight w:val="0"/>
      <w:marTop w:val="0"/>
      <w:marBottom w:val="0"/>
      <w:divBdr>
        <w:top w:val="none" w:sz="0" w:space="0" w:color="auto"/>
        <w:left w:val="none" w:sz="0" w:space="0" w:color="auto"/>
        <w:bottom w:val="none" w:sz="0" w:space="0" w:color="auto"/>
        <w:right w:val="none" w:sz="0" w:space="0" w:color="auto"/>
      </w:divBdr>
      <w:divsChild>
        <w:div w:id="544635269">
          <w:marLeft w:val="0"/>
          <w:marRight w:val="0"/>
          <w:marTop w:val="0"/>
          <w:marBottom w:val="0"/>
          <w:divBdr>
            <w:top w:val="none" w:sz="0" w:space="0" w:color="auto"/>
            <w:left w:val="none" w:sz="0" w:space="0" w:color="auto"/>
            <w:bottom w:val="none" w:sz="0" w:space="0" w:color="auto"/>
            <w:right w:val="none" w:sz="0" w:space="0" w:color="auto"/>
          </w:divBdr>
        </w:div>
        <w:div w:id="579874589">
          <w:marLeft w:val="0"/>
          <w:marRight w:val="0"/>
          <w:marTop w:val="0"/>
          <w:marBottom w:val="0"/>
          <w:divBdr>
            <w:top w:val="none" w:sz="0" w:space="0" w:color="auto"/>
            <w:left w:val="none" w:sz="0" w:space="0" w:color="auto"/>
            <w:bottom w:val="none" w:sz="0" w:space="0" w:color="auto"/>
            <w:right w:val="none" w:sz="0" w:space="0" w:color="auto"/>
          </w:divBdr>
        </w:div>
        <w:div w:id="1995451295">
          <w:marLeft w:val="0"/>
          <w:marRight w:val="0"/>
          <w:marTop w:val="0"/>
          <w:marBottom w:val="0"/>
          <w:divBdr>
            <w:top w:val="none" w:sz="0" w:space="0" w:color="auto"/>
            <w:left w:val="none" w:sz="0" w:space="0" w:color="auto"/>
            <w:bottom w:val="none" w:sz="0" w:space="0" w:color="auto"/>
            <w:right w:val="none" w:sz="0" w:space="0" w:color="auto"/>
          </w:divBdr>
        </w:div>
      </w:divsChild>
    </w:div>
    <w:div w:id="495800910">
      <w:bodyDiv w:val="1"/>
      <w:marLeft w:val="0"/>
      <w:marRight w:val="0"/>
      <w:marTop w:val="0"/>
      <w:marBottom w:val="0"/>
      <w:divBdr>
        <w:top w:val="none" w:sz="0" w:space="0" w:color="auto"/>
        <w:left w:val="none" w:sz="0" w:space="0" w:color="auto"/>
        <w:bottom w:val="none" w:sz="0" w:space="0" w:color="auto"/>
        <w:right w:val="none" w:sz="0" w:space="0" w:color="auto"/>
      </w:divBdr>
    </w:div>
    <w:div w:id="517237574">
      <w:bodyDiv w:val="1"/>
      <w:marLeft w:val="0"/>
      <w:marRight w:val="0"/>
      <w:marTop w:val="0"/>
      <w:marBottom w:val="0"/>
      <w:divBdr>
        <w:top w:val="none" w:sz="0" w:space="0" w:color="auto"/>
        <w:left w:val="none" w:sz="0" w:space="0" w:color="auto"/>
        <w:bottom w:val="none" w:sz="0" w:space="0" w:color="auto"/>
        <w:right w:val="none" w:sz="0" w:space="0" w:color="auto"/>
      </w:divBdr>
    </w:div>
    <w:div w:id="553077546">
      <w:bodyDiv w:val="1"/>
      <w:marLeft w:val="0"/>
      <w:marRight w:val="0"/>
      <w:marTop w:val="0"/>
      <w:marBottom w:val="0"/>
      <w:divBdr>
        <w:top w:val="none" w:sz="0" w:space="0" w:color="auto"/>
        <w:left w:val="none" w:sz="0" w:space="0" w:color="auto"/>
        <w:bottom w:val="none" w:sz="0" w:space="0" w:color="auto"/>
        <w:right w:val="none" w:sz="0" w:space="0" w:color="auto"/>
      </w:divBdr>
    </w:div>
    <w:div w:id="634486599">
      <w:bodyDiv w:val="1"/>
      <w:marLeft w:val="0"/>
      <w:marRight w:val="0"/>
      <w:marTop w:val="0"/>
      <w:marBottom w:val="0"/>
      <w:divBdr>
        <w:top w:val="none" w:sz="0" w:space="0" w:color="auto"/>
        <w:left w:val="none" w:sz="0" w:space="0" w:color="auto"/>
        <w:bottom w:val="none" w:sz="0" w:space="0" w:color="auto"/>
        <w:right w:val="none" w:sz="0" w:space="0" w:color="auto"/>
      </w:divBdr>
      <w:divsChild>
        <w:div w:id="123163383">
          <w:marLeft w:val="0"/>
          <w:marRight w:val="0"/>
          <w:marTop w:val="0"/>
          <w:marBottom w:val="0"/>
          <w:divBdr>
            <w:top w:val="none" w:sz="0" w:space="0" w:color="auto"/>
            <w:left w:val="none" w:sz="0" w:space="0" w:color="auto"/>
            <w:bottom w:val="none" w:sz="0" w:space="0" w:color="auto"/>
            <w:right w:val="none" w:sz="0" w:space="0" w:color="auto"/>
          </w:divBdr>
        </w:div>
        <w:div w:id="274097252">
          <w:marLeft w:val="0"/>
          <w:marRight w:val="0"/>
          <w:marTop w:val="0"/>
          <w:marBottom w:val="0"/>
          <w:divBdr>
            <w:top w:val="none" w:sz="0" w:space="0" w:color="auto"/>
            <w:left w:val="none" w:sz="0" w:space="0" w:color="auto"/>
            <w:bottom w:val="none" w:sz="0" w:space="0" w:color="auto"/>
            <w:right w:val="none" w:sz="0" w:space="0" w:color="auto"/>
          </w:divBdr>
        </w:div>
        <w:div w:id="284851326">
          <w:marLeft w:val="0"/>
          <w:marRight w:val="0"/>
          <w:marTop w:val="0"/>
          <w:marBottom w:val="0"/>
          <w:divBdr>
            <w:top w:val="none" w:sz="0" w:space="0" w:color="auto"/>
            <w:left w:val="none" w:sz="0" w:space="0" w:color="auto"/>
            <w:bottom w:val="none" w:sz="0" w:space="0" w:color="auto"/>
            <w:right w:val="none" w:sz="0" w:space="0" w:color="auto"/>
          </w:divBdr>
        </w:div>
        <w:div w:id="299237411">
          <w:marLeft w:val="0"/>
          <w:marRight w:val="0"/>
          <w:marTop w:val="0"/>
          <w:marBottom w:val="0"/>
          <w:divBdr>
            <w:top w:val="none" w:sz="0" w:space="0" w:color="auto"/>
            <w:left w:val="none" w:sz="0" w:space="0" w:color="auto"/>
            <w:bottom w:val="none" w:sz="0" w:space="0" w:color="auto"/>
            <w:right w:val="none" w:sz="0" w:space="0" w:color="auto"/>
          </w:divBdr>
        </w:div>
        <w:div w:id="376315967">
          <w:marLeft w:val="0"/>
          <w:marRight w:val="0"/>
          <w:marTop w:val="0"/>
          <w:marBottom w:val="0"/>
          <w:divBdr>
            <w:top w:val="none" w:sz="0" w:space="0" w:color="auto"/>
            <w:left w:val="none" w:sz="0" w:space="0" w:color="auto"/>
            <w:bottom w:val="none" w:sz="0" w:space="0" w:color="auto"/>
            <w:right w:val="none" w:sz="0" w:space="0" w:color="auto"/>
          </w:divBdr>
        </w:div>
        <w:div w:id="389578035">
          <w:marLeft w:val="0"/>
          <w:marRight w:val="0"/>
          <w:marTop w:val="0"/>
          <w:marBottom w:val="0"/>
          <w:divBdr>
            <w:top w:val="none" w:sz="0" w:space="0" w:color="auto"/>
            <w:left w:val="none" w:sz="0" w:space="0" w:color="auto"/>
            <w:bottom w:val="none" w:sz="0" w:space="0" w:color="auto"/>
            <w:right w:val="none" w:sz="0" w:space="0" w:color="auto"/>
          </w:divBdr>
        </w:div>
        <w:div w:id="406001885">
          <w:marLeft w:val="0"/>
          <w:marRight w:val="0"/>
          <w:marTop w:val="0"/>
          <w:marBottom w:val="0"/>
          <w:divBdr>
            <w:top w:val="none" w:sz="0" w:space="0" w:color="auto"/>
            <w:left w:val="none" w:sz="0" w:space="0" w:color="auto"/>
            <w:bottom w:val="none" w:sz="0" w:space="0" w:color="auto"/>
            <w:right w:val="none" w:sz="0" w:space="0" w:color="auto"/>
          </w:divBdr>
        </w:div>
        <w:div w:id="448165297">
          <w:marLeft w:val="0"/>
          <w:marRight w:val="0"/>
          <w:marTop w:val="0"/>
          <w:marBottom w:val="0"/>
          <w:divBdr>
            <w:top w:val="none" w:sz="0" w:space="0" w:color="auto"/>
            <w:left w:val="none" w:sz="0" w:space="0" w:color="auto"/>
            <w:bottom w:val="none" w:sz="0" w:space="0" w:color="auto"/>
            <w:right w:val="none" w:sz="0" w:space="0" w:color="auto"/>
          </w:divBdr>
        </w:div>
        <w:div w:id="501311139">
          <w:marLeft w:val="0"/>
          <w:marRight w:val="0"/>
          <w:marTop w:val="0"/>
          <w:marBottom w:val="0"/>
          <w:divBdr>
            <w:top w:val="none" w:sz="0" w:space="0" w:color="auto"/>
            <w:left w:val="none" w:sz="0" w:space="0" w:color="auto"/>
            <w:bottom w:val="none" w:sz="0" w:space="0" w:color="auto"/>
            <w:right w:val="none" w:sz="0" w:space="0" w:color="auto"/>
          </w:divBdr>
        </w:div>
        <w:div w:id="567544898">
          <w:marLeft w:val="0"/>
          <w:marRight w:val="0"/>
          <w:marTop w:val="0"/>
          <w:marBottom w:val="0"/>
          <w:divBdr>
            <w:top w:val="none" w:sz="0" w:space="0" w:color="auto"/>
            <w:left w:val="none" w:sz="0" w:space="0" w:color="auto"/>
            <w:bottom w:val="none" w:sz="0" w:space="0" w:color="auto"/>
            <w:right w:val="none" w:sz="0" w:space="0" w:color="auto"/>
          </w:divBdr>
        </w:div>
        <w:div w:id="601108856">
          <w:marLeft w:val="0"/>
          <w:marRight w:val="0"/>
          <w:marTop w:val="0"/>
          <w:marBottom w:val="0"/>
          <w:divBdr>
            <w:top w:val="none" w:sz="0" w:space="0" w:color="auto"/>
            <w:left w:val="none" w:sz="0" w:space="0" w:color="auto"/>
            <w:bottom w:val="none" w:sz="0" w:space="0" w:color="auto"/>
            <w:right w:val="none" w:sz="0" w:space="0" w:color="auto"/>
          </w:divBdr>
        </w:div>
        <w:div w:id="642003044">
          <w:marLeft w:val="0"/>
          <w:marRight w:val="0"/>
          <w:marTop w:val="0"/>
          <w:marBottom w:val="0"/>
          <w:divBdr>
            <w:top w:val="none" w:sz="0" w:space="0" w:color="auto"/>
            <w:left w:val="none" w:sz="0" w:space="0" w:color="auto"/>
            <w:bottom w:val="none" w:sz="0" w:space="0" w:color="auto"/>
            <w:right w:val="none" w:sz="0" w:space="0" w:color="auto"/>
          </w:divBdr>
        </w:div>
        <w:div w:id="764114840">
          <w:marLeft w:val="0"/>
          <w:marRight w:val="0"/>
          <w:marTop w:val="0"/>
          <w:marBottom w:val="0"/>
          <w:divBdr>
            <w:top w:val="none" w:sz="0" w:space="0" w:color="auto"/>
            <w:left w:val="none" w:sz="0" w:space="0" w:color="auto"/>
            <w:bottom w:val="none" w:sz="0" w:space="0" w:color="auto"/>
            <w:right w:val="none" w:sz="0" w:space="0" w:color="auto"/>
          </w:divBdr>
        </w:div>
        <w:div w:id="774059007">
          <w:marLeft w:val="0"/>
          <w:marRight w:val="0"/>
          <w:marTop w:val="0"/>
          <w:marBottom w:val="0"/>
          <w:divBdr>
            <w:top w:val="none" w:sz="0" w:space="0" w:color="auto"/>
            <w:left w:val="none" w:sz="0" w:space="0" w:color="auto"/>
            <w:bottom w:val="none" w:sz="0" w:space="0" w:color="auto"/>
            <w:right w:val="none" w:sz="0" w:space="0" w:color="auto"/>
          </w:divBdr>
        </w:div>
        <w:div w:id="805045407">
          <w:marLeft w:val="0"/>
          <w:marRight w:val="0"/>
          <w:marTop w:val="0"/>
          <w:marBottom w:val="0"/>
          <w:divBdr>
            <w:top w:val="none" w:sz="0" w:space="0" w:color="auto"/>
            <w:left w:val="none" w:sz="0" w:space="0" w:color="auto"/>
            <w:bottom w:val="none" w:sz="0" w:space="0" w:color="auto"/>
            <w:right w:val="none" w:sz="0" w:space="0" w:color="auto"/>
          </w:divBdr>
        </w:div>
        <w:div w:id="877470476">
          <w:marLeft w:val="0"/>
          <w:marRight w:val="0"/>
          <w:marTop w:val="0"/>
          <w:marBottom w:val="0"/>
          <w:divBdr>
            <w:top w:val="none" w:sz="0" w:space="0" w:color="auto"/>
            <w:left w:val="none" w:sz="0" w:space="0" w:color="auto"/>
            <w:bottom w:val="none" w:sz="0" w:space="0" w:color="auto"/>
            <w:right w:val="none" w:sz="0" w:space="0" w:color="auto"/>
          </w:divBdr>
        </w:div>
        <w:div w:id="906186816">
          <w:marLeft w:val="0"/>
          <w:marRight w:val="0"/>
          <w:marTop w:val="0"/>
          <w:marBottom w:val="0"/>
          <w:divBdr>
            <w:top w:val="none" w:sz="0" w:space="0" w:color="auto"/>
            <w:left w:val="none" w:sz="0" w:space="0" w:color="auto"/>
            <w:bottom w:val="none" w:sz="0" w:space="0" w:color="auto"/>
            <w:right w:val="none" w:sz="0" w:space="0" w:color="auto"/>
          </w:divBdr>
        </w:div>
        <w:div w:id="919024814">
          <w:marLeft w:val="0"/>
          <w:marRight w:val="0"/>
          <w:marTop w:val="0"/>
          <w:marBottom w:val="0"/>
          <w:divBdr>
            <w:top w:val="none" w:sz="0" w:space="0" w:color="auto"/>
            <w:left w:val="none" w:sz="0" w:space="0" w:color="auto"/>
            <w:bottom w:val="none" w:sz="0" w:space="0" w:color="auto"/>
            <w:right w:val="none" w:sz="0" w:space="0" w:color="auto"/>
          </w:divBdr>
        </w:div>
        <w:div w:id="927811977">
          <w:marLeft w:val="0"/>
          <w:marRight w:val="0"/>
          <w:marTop w:val="0"/>
          <w:marBottom w:val="0"/>
          <w:divBdr>
            <w:top w:val="none" w:sz="0" w:space="0" w:color="auto"/>
            <w:left w:val="none" w:sz="0" w:space="0" w:color="auto"/>
            <w:bottom w:val="none" w:sz="0" w:space="0" w:color="auto"/>
            <w:right w:val="none" w:sz="0" w:space="0" w:color="auto"/>
          </w:divBdr>
        </w:div>
        <w:div w:id="929853281">
          <w:marLeft w:val="0"/>
          <w:marRight w:val="0"/>
          <w:marTop w:val="0"/>
          <w:marBottom w:val="0"/>
          <w:divBdr>
            <w:top w:val="none" w:sz="0" w:space="0" w:color="auto"/>
            <w:left w:val="none" w:sz="0" w:space="0" w:color="auto"/>
            <w:bottom w:val="none" w:sz="0" w:space="0" w:color="auto"/>
            <w:right w:val="none" w:sz="0" w:space="0" w:color="auto"/>
          </w:divBdr>
        </w:div>
        <w:div w:id="945388694">
          <w:marLeft w:val="0"/>
          <w:marRight w:val="0"/>
          <w:marTop w:val="0"/>
          <w:marBottom w:val="0"/>
          <w:divBdr>
            <w:top w:val="none" w:sz="0" w:space="0" w:color="auto"/>
            <w:left w:val="none" w:sz="0" w:space="0" w:color="auto"/>
            <w:bottom w:val="none" w:sz="0" w:space="0" w:color="auto"/>
            <w:right w:val="none" w:sz="0" w:space="0" w:color="auto"/>
          </w:divBdr>
        </w:div>
        <w:div w:id="977958131">
          <w:marLeft w:val="0"/>
          <w:marRight w:val="0"/>
          <w:marTop w:val="0"/>
          <w:marBottom w:val="0"/>
          <w:divBdr>
            <w:top w:val="none" w:sz="0" w:space="0" w:color="auto"/>
            <w:left w:val="none" w:sz="0" w:space="0" w:color="auto"/>
            <w:bottom w:val="none" w:sz="0" w:space="0" w:color="auto"/>
            <w:right w:val="none" w:sz="0" w:space="0" w:color="auto"/>
          </w:divBdr>
        </w:div>
        <w:div w:id="1000693950">
          <w:marLeft w:val="0"/>
          <w:marRight w:val="0"/>
          <w:marTop w:val="0"/>
          <w:marBottom w:val="0"/>
          <w:divBdr>
            <w:top w:val="none" w:sz="0" w:space="0" w:color="auto"/>
            <w:left w:val="none" w:sz="0" w:space="0" w:color="auto"/>
            <w:bottom w:val="none" w:sz="0" w:space="0" w:color="auto"/>
            <w:right w:val="none" w:sz="0" w:space="0" w:color="auto"/>
          </w:divBdr>
        </w:div>
        <w:div w:id="1071199780">
          <w:marLeft w:val="0"/>
          <w:marRight w:val="0"/>
          <w:marTop w:val="0"/>
          <w:marBottom w:val="0"/>
          <w:divBdr>
            <w:top w:val="none" w:sz="0" w:space="0" w:color="auto"/>
            <w:left w:val="none" w:sz="0" w:space="0" w:color="auto"/>
            <w:bottom w:val="none" w:sz="0" w:space="0" w:color="auto"/>
            <w:right w:val="none" w:sz="0" w:space="0" w:color="auto"/>
          </w:divBdr>
        </w:div>
        <w:div w:id="1083181443">
          <w:marLeft w:val="0"/>
          <w:marRight w:val="0"/>
          <w:marTop w:val="0"/>
          <w:marBottom w:val="0"/>
          <w:divBdr>
            <w:top w:val="none" w:sz="0" w:space="0" w:color="auto"/>
            <w:left w:val="none" w:sz="0" w:space="0" w:color="auto"/>
            <w:bottom w:val="none" w:sz="0" w:space="0" w:color="auto"/>
            <w:right w:val="none" w:sz="0" w:space="0" w:color="auto"/>
          </w:divBdr>
        </w:div>
        <w:div w:id="1309937985">
          <w:marLeft w:val="0"/>
          <w:marRight w:val="0"/>
          <w:marTop w:val="0"/>
          <w:marBottom w:val="0"/>
          <w:divBdr>
            <w:top w:val="none" w:sz="0" w:space="0" w:color="auto"/>
            <w:left w:val="none" w:sz="0" w:space="0" w:color="auto"/>
            <w:bottom w:val="none" w:sz="0" w:space="0" w:color="auto"/>
            <w:right w:val="none" w:sz="0" w:space="0" w:color="auto"/>
          </w:divBdr>
        </w:div>
        <w:div w:id="1331181980">
          <w:marLeft w:val="0"/>
          <w:marRight w:val="0"/>
          <w:marTop w:val="0"/>
          <w:marBottom w:val="0"/>
          <w:divBdr>
            <w:top w:val="none" w:sz="0" w:space="0" w:color="auto"/>
            <w:left w:val="none" w:sz="0" w:space="0" w:color="auto"/>
            <w:bottom w:val="none" w:sz="0" w:space="0" w:color="auto"/>
            <w:right w:val="none" w:sz="0" w:space="0" w:color="auto"/>
          </w:divBdr>
        </w:div>
        <w:div w:id="1353530551">
          <w:marLeft w:val="0"/>
          <w:marRight w:val="0"/>
          <w:marTop w:val="0"/>
          <w:marBottom w:val="0"/>
          <w:divBdr>
            <w:top w:val="none" w:sz="0" w:space="0" w:color="auto"/>
            <w:left w:val="none" w:sz="0" w:space="0" w:color="auto"/>
            <w:bottom w:val="none" w:sz="0" w:space="0" w:color="auto"/>
            <w:right w:val="none" w:sz="0" w:space="0" w:color="auto"/>
          </w:divBdr>
        </w:div>
        <w:div w:id="1437284808">
          <w:marLeft w:val="0"/>
          <w:marRight w:val="0"/>
          <w:marTop w:val="0"/>
          <w:marBottom w:val="0"/>
          <w:divBdr>
            <w:top w:val="none" w:sz="0" w:space="0" w:color="auto"/>
            <w:left w:val="none" w:sz="0" w:space="0" w:color="auto"/>
            <w:bottom w:val="none" w:sz="0" w:space="0" w:color="auto"/>
            <w:right w:val="none" w:sz="0" w:space="0" w:color="auto"/>
          </w:divBdr>
        </w:div>
        <w:div w:id="1595089069">
          <w:marLeft w:val="0"/>
          <w:marRight w:val="0"/>
          <w:marTop w:val="0"/>
          <w:marBottom w:val="0"/>
          <w:divBdr>
            <w:top w:val="none" w:sz="0" w:space="0" w:color="auto"/>
            <w:left w:val="none" w:sz="0" w:space="0" w:color="auto"/>
            <w:bottom w:val="none" w:sz="0" w:space="0" w:color="auto"/>
            <w:right w:val="none" w:sz="0" w:space="0" w:color="auto"/>
          </w:divBdr>
        </w:div>
        <w:div w:id="1626544845">
          <w:marLeft w:val="0"/>
          <w:marRight w:val="0"/>
          <w:marTop w:val="0"/>
          <w:marBottom w:val="0"/>
          <w:divBdr>
            <w:top w:val="none" w:sz="0" w:space="0" w:color="auto"/>
            <w:left w:val="none" w:sz="0" w:space="0" w:color="auto"/>
            <w:bottom w:val="none" w:sz="0" w:space="0" w:color="auto"/>
            <w:right w:val="none" w:sz="0" w:space="0" w:color="auto"/>
          </w:divBdr>
        </w:div>
        <w:div w:id="1643999082">
          <w:marLeft w:val="0"/>
          <w:marRight w:val="0"/>
          <w:marTop w:val="0"/>
          <w:marBottom w:val="0"/>
          <w:divBdr>
            <w:top w:val="none" w:sz="0" w:space="0" w:color="auto"/>
            <w:left w:val="none" w:sz="0" w:space="0" w:color="auto"/>
            <w:bottom w:val="none" w:sz="0" w:space="0" w:color="auto"/>
            <w:right w:val="none" w:sz="0" w:space="0" w:color="auto"/>
          </w:divBdr>
        </w:div>
        <w:div w:id="1668746983">
          <w:marLeft w:val="0"/>
          <w:marRight w:val="0"/>
          <w:marTop w:val="0"/>
          <w:marBottom w:val="0"/>
          <w:divBdr>
            <w:top w:val="none" w:sz="0" w:space="0" w:color="auto"/>
            <w:left w:val="none" w:sz="0" w:space="0" w:color="auto"/>
            <w:bottom w:val="none" w:sz="0" w:space="0" w:color="auto"/>
            <w:right w:val="none" w:sz="0" w:space="0" w:color="auto"/>
          </w:divBdr>
        </w:div>
        <w:div w:id="1682854139">
          <w:marLeft w:val="0"/>
          <w:marRight w:val="0"/>
          <w:marTop w:val="0"/>
          <w:marBottom w:val="0"/>
          <w:divBdr>
            <w:top w:val="none" w:sz="0" w:space="0" w:color="auto"/>
            <w:left w:val="none" w:sz="0" w:space="0" w:color="auto"/>
            <w:bottom w:val="none" w:sz="0" w:space="0" w:color="auto"/>
            <w:right w:val="none" w:sz="0" w:space="0" w:color="auto"/>
          </w:divBdr>
        </w:div>
        <w:div w:id="1727140513">
          <w:marLeft w:val="0"/>
          <w:marRight w:val="0"/>
          <w:marTop w:val="0"/>
          <w:marBottom w:val="0"/>
          <w:divBdr>
            <w:top w:val="none" w:sz="0" w:space="0" w:color="auto"/>
            <w:left w:val="none" w:sz="0" w:space="0" w:color="auto"/>
            <w:bottom w:val="none" w:sz="0" w:space="0" w:color="auto"/>
            <w:right w:val="none" w:sz="0" w:space="0" w:color="auto"/>
          </w:divBdr>
        </w:div>
        <w:div w:id="1809858408">
          <w:marLeft w:val="0"/>
          <w:marRight w:val="0"/>
          <w:marTop w:val="0"/>
          <w:marBottom w:val="0"/>
          <w:divBdr>
            <w:top w:val="none" w:sz="0" w:space="0" w:color="auto"/>
            <w:left w:val="none" w:sz="0" w:space="0" w:color="auto"/>
            <w:bottom w:val="none" w:sz="0" w:space="0" w:color="auto"/>
            <w:right w:val="none" w:sz="0" w:space="0" w:color="auto"/>
          </w:divBdr>
        </w:div>
        <w:div w:id="1842886085">
          <w:marLeft w:val="0"/>
          <w:marRight w:val="0"/>
          <w:marTop w:val="0"/>
          <w:marBottom w:val="0"/>
          <w:divBdr>
            <w:top w:val="none" w:sz="0" w:space="0" w:color="auto"/>
            <w:left w:val="none" w:sz="0" w:space="0" w:color="auto"/>
            <w:bottom w:val="none" w:sz="0" w:space="0" w:color="auto"/>
            <w:right w:val="none" w:sz="0" w:space="0" w:color="auto"/>
          </w:divBdr>
        </w:div>
        <w:div w:id="1878423154">
          <w:marLeft w:val="0"/>
          <w:marRight w:val="0"/>
          <w:marTop w:val="0"/>
          <w:marBottom w:val="0"/>
          <w:divBdr>
            <w:top w:val="none" w:sz="0" w:space="0" w:color="auto"/>
            <w:left w:val="none" w:sz="0" w:space="0" w:color="auto"/>
            <w:bottom w:val="none" w:sz="0" w:space="0" w:color="auto"/>
            <w:right w:val="none" w:sz="0" w:space="0" w:color="auto"/>
          </w:divBdr>
        </w:div>
        <w:div w:id="2105612428">
          <w:marLeft w:val="0"/>
          <w:marRight w:val="0"/>
          <w:marTop w:val="0"/>
          <w:marBottom w:val="0"/>
          <w:divBdr>
            <w:top w:val="none" w:sz="0" w:space="0" w:color="auto"/>
            <w:left w:val="none" w:sz="0" w:space="0" w:color="auto"/>
            <w:bottom w:val="none" w:sz="0" w:space="0" w:color="auto"/>
            <w:right w:val="none" w:sz="0" w:space="0" w:color="auto"/>
          </w:divBdr>
        </w:div>
        <w:div w:id="2121683376">
          <w:marLeft w:val="0"/>
          <w:marRight w:val="0"/>
          <w:marTop w:val="0"/>
          <w:marBottom w:val="0"/>
          <w:divBdr>
            <w:top w:val="none" w:sz="0" w:space="0" w:color="auto"/>
            <w:left w:val="none" w:sz="0" w:space="0" w:color="auto"/>
            <w:bottom w:val="none" w:sz="0" w:space="0" w:color="auto"/>
            <w:right w:val="none" w:sz="0" w:space="0" w:color="auto"/>
          </w:divBdr>
        </w:div>
      </w:divsChild>
    </w:div>
    <w:div w:id="656375774">
      <w:bodyDiv w:val="1"/>
      <w:marLeft w:val="0"/>
      <w:marRight w:val="0"/>
      <w:marTop w:val="0"/>
      <w:marBottom w:val="0"/>
      <w:divBdr>
        <w:top w:val="none" w:sz="0" w:space="0" w:color="auto"/>
        <w:left w:val="none" w:sz="0" w:space="0" w:color="auto"/>
        <w:bottom w:val="none" w:sz="0" w:space="0" w:color="auto"/>
        <w:right w:val="none" w:sz="0" w:space="0" w:color="auto"/>
      </w:divBdr>
      <w:divsChild>
        <w:div w:id="181014786">
          <w:marLeft w:val="0"/>
          <w:marRight w:val="0"/>
          <w:marTop w:val="0"/>
          <w:marBottom w:val="0"/>
          <w:divBdr>
            <w:top w:val="none" w:sz="0" w:space="0" w:color="auto"/>
            <w:left w:val="none" w:sz="0" w:space="0" w:color="auto"/>
            <w:bottom w:val="none" w:sz="0" w:space="0" w:color="auto"/>
            <w:right w:val="none" w:sz="0" w:space="0" w:color="auto"/>
          </w:divBdr>
        </w:div>
        <w:div w:id="408617015">
          <w:marLeft w:val="0"/>
          <w:marRight w:val="0"/>
          <w:marTop w:val="0"/>
          <w:marBottom w:val="0"/>
          <w:divBdr>
            <w:top w:val="none" w:sz="0" w:space="0" w:color="auto"/>
            <w:left w:val="none" w:sz="0" w:space="0" w:color="auto"/>
            <w:bottom w:val="none" w:sz="0" w:space="0" w:color="auto"/>
            <w:right w:val="none" w:sz="0" w:space="0" w:color="auto"/>
          </w:divBdr>
        </w:div>
        <w:div w:id="588777666">
          <w:marLeft w:val="0"/>
          <w:marRight w:val="0"/>
          <w:marTop w:val="0"/>
          <w:marBottom w:val="0"/>
          <w:divBdr>
            <w:top w:val="none" w:sz="0" w:space="0" w:color="auto"/>
            <w:left w:val="none" w:sz="0" w:space="0" w:color="auto"/>
            <w:bottom w:val="none" w:sz="0" w:space="0" w:color="auto"/>
            <w:right w:val="none" w:sz="0" w:space="0" w:color="auto"/>
          </w:divBdr>
        </w:div>
        <w:div w:id="895895339">
          <w:marLeft w:val="0"/>
          <w:marRight w:val="0"/>
          <w:marTop w:val="0"/>
          <w:marBottom w:val="0"/>
          <w:divBdr>
            <w:top w:val="none" w:sz="0" w:space="0" w:color="auto"/>
            <w:left w:val="none" w:sz="0" w:space="0" w:color="auto"/>
            <w:bottom w:val="none" w:sz="0" w:space="0" w:color="auto"/>
            <w:right w:val="none" w:sz="0" w:space="0" w:color="auto"/>
          </w:divBdr>
        </w:div>
        <w:div w:id="898708379">
          <w:marLeft w:val="0"/>
          <w:marRight w:val="0"/>
          <w:marTop w:val="0"/>
          <w:marBottom w:val="0"/>
          <w:divBdr>
            <w:top w:val="none" w:sz="0" w:space="0" w:color="auto"/>
            <w:left w:val="none" w:sz="0" w:space="0" w:color="auto"/>
            <w:bottom w:val="none" w:sz="0" w:space="0" w:color="auto"/>
            <w:right w:val="none" w:sz="0" w:space="0" w:color="auto"/>
          </w:divBdr>
        </w:div>
        <w:div w:id="1024865603">
          <w:marLeft w:val="0"/>
          <w:marRight w:val="0"/>
          <w:marTop w:val="0"/>
          <w:marBottom w:val="0"/>
          <w:divBdr>
            <w:top w:val="none" w:sz="0" w:space="0" w:color="auto"/>
            <w:left w:val="none" w:sz="0" w:space="0" w:color="auto"/>
            <w:bottom w:val="none" w:sz="0" w:space="0" w:color="auto"/>
            <w:right w:val="none" w:sz="0" w:space="0" w:color="auto"/>
          </w:divBdr>
        </w:div>
        <w:div w:id="1450006782">
          <w:marLeft w:val="0"/>
          <w:marRight w:val="0"/>
          <w:marTop w:val="0"/>
          <w:marBottom w:val="0"/>
          <w:divBdr>
            <w:top w:val="none" w:sz="0" w:space="0" w:color="auto"/>
            <w:left w:val="none" w:sz="0" w:space="0" w:color="auto"/>
            <w:bottom w:val="none" w:sz="0" w:space="0" w:color="auto"/>
            <w:right w:val="none" w:sz="0" w:space="0" w:color="auto"/>
          </w:divBdr>
        </w:div>
        <w:div w:id="1590114846">
          <w:marLeft w:val="0"/>
          <w:marRight w:val="0"/>
          <w:marTop w:val="0"/>
          <w:marBottom w:val="0"/>
          <w:divBdr>
            <w:top w:val="none" w:sz="0" w:space="0" w:color="auto"/>
            <w:left w:val="none" w:sz="0" w:space="0" w:color="auto"/>
            <w:bottom w:val="none" w:sz="0" w:space="0" w:color="auto"/>
            <w:right w:val="none" w:sz="0" w:space="0" w:color="auto"/>
          </w:divBdr>
        </w:div>
        <w:div w:id="1630476044">
          <w:marLeft w:val="0"/>
          <w:marRight w:val="0"/>
          <w:marTop w:val="0"/>
          <w:marBottom w:val="0"/>
          <w:divBdr>
            <w:top w:val="none" w:sz="0" w:space="0" w:color="auto"/>
            <w:left w:val="none" w:sz="0" w:space="0" w:color="auto"/>
            <w:bottom w:val="none" w:sz="0" w:space="0" w:color="auto"/>
            <w:right w:val="none" w:sz="0" w:space="0" w:color="auto"/>
          </w:divBdr>
        </w:div>
        <w:div w:id="1693800781">
          <w:marLeft w:val="0"/>
          <w:marRight w:val="0"/>
          <w:marTop w:val="0"/>
          <w:marBottom w:val="0"/>
          <w:divBdr>
            <w:top w:val="none" w:sz="0" w:space="0" w:color="auto"/>
            <w:left w:val="none" w:sz="0" w:space="0" w:color="auto"/>
            <w:bottom w:val="none" w:sz="0" w:space="0" w:color="auto"/>
            <w:right w:val="none" w:sz="0" w:space="0" w:color="auto"/>
          </w:divBdr>
        </w:div>
        <w:div w:id="1736392997">
          <w:marLeft w:val="0"/>
          <w:marRight w:val="0"/>
          <w:marTop w:val="0"/>
          <w:marBottom w:val="0"/>
          <w:divBdr>
            <w:top w:val="none" w:sz="0" w:space="0" w:color="auto"/>
            <w:left w:val="none" w:sz="0" w:space="0" w:color="auto"/>
            <w:bottom w:val="none" w:sz="0" w:space="0" w:color="auto"/>
            <w:right w:val="none" w:sz="0" w:space="0" w:color="auto"/>
          </w:divBdr>
        </w:div>
        <w:div w:id="1932736992">
          <w:marLeft w:val="0"/>
          <w:marRight w:val="0"/>
          <w:marTop w:val="0"/>
          <w:marBottom w:val="0"/>
          <w:divBdr>
            <w:top w:val="none" w:sz="0" w:space="0" w:color="auto"/>
            <w:left w:val="none" w:sz="0" w:space="0" w:color="auto"/>
            <w:bottom w:val="none" w:sz="0" w:space="0" w:color="auto"/>
            <w:right w:val="none" w:sz="0" w:space="0" w:color="auto"/>
          </w:divBdr>
        </w:div>
      </w:divsChild>
    </w:div>
    <w:div w:id="816535433">
      <w:bodyDiv w:val="1"/>
      <w:marLeft w:val="0"/>
      <w:marRight w:val="0"/>
      <w:marTop w:val="0"/>
      <w:marBottom w:val="0"/>
      <w:divBdr>
        <w:top w:val="none" w:sz="0" w:space="0" w:color="auto"/>
        <w:left w:val="none" w:sz="0" w:space="0" w:color="auto"/>
        <w:bottom w:val="none" w:sz="0" w:space="0" w:color="auto"/>
        <w:right w:val="none" w:sz="0" w:space="0" w:color="auto"/>
      </w:divBdr>
    </w:div>
    <w:div w:id="826363186">
      <w:bodyDiv w:val="1"/>
      <w:marLeft w:val="0"/>
      <w:marRight w:val="0"/>
      <w:marTop w:val="0"/>
      <w:marBottom w:val="0"/>
      <w:divBdr>
        <w:top w:val="none" w:sz="0" w:space="0" w:color="auto"/>
        <w:left w:val="none" w:sz="0" w:space="0" w:color="auto"/>
        <w:bottom w:val="none" w:sz="0" w:space="0" w:color="auto"/>
        <w:right w:val="none" w:sz="0" w:space="0" w:color="auto"/>
      </w:divBdr>
    </w:div>
    <w:div w:id="835270973">
      <w:bodyDiv w:val="1"/>
      <w:marLeft w:val="0"/>
      <w:marRight w:val="0"/>
      <w:marTop w:val="0"/>
      <w:marBottom w:val="0"/>
      <w:divBdr>
        <w:top w:val="none" w:sz="0" w:space="0" w:color="auto"/>
        <w:left w:val="none" w:sz="0" w:space="0" w:color="auto"/>
        <w:bottom w:val="none" w:sz="0" w:space="0" w:color="auto"/>
        <w:right w:val="none" w:sz="0" w:space="0" w:color="auto"/>
      </w:divBdr>
    </w:div>
    <w:div w:id="837231671">
      <w:bodyDiv w:val="1"/>
      <w:marLeft w:val="0"/>
      <w:marRight w:val="0"/>
      <w:marTop w:val="0"/>
      <w:marBottom w:val="0"/>
      <w:divBdr>
        <w:top w:val="none" w:sz="0" w:space="0" w:color="auto"/>
        <w:left w:val="none" w:sz="0" w:space="0" w:color="auto"/>
        <w:bottom w:val="none" w:sz="0" w:space="0" w:color="auto"/>
        <w:right w:val="none" w:sz="0" w:space="0" w:color="auto"/>
      </w:divBdr>
    </w:div>
    <w:div w:id="868684277">
      <w:bodyDiv w:val="1"/>
      <w:marLeft w:val="0"/>
      <w:marRight w:val="0"/>
      <w:marTop w:val="0"/>
      <w:marBottom w:val="0"/>
      <w:divBdr>
        <w:top w:val="none" w:sz="0" w:space="0" w:color="auto"/>
        <w:left w:val="none" w:sz="0" w:space="0" w:color="auto"/>
        <w:bottom w:val="none" w:sz="0" w:space="0" w:color="auto"/>
        <w:right w:val="none" w:sz="0" w:space="0" w:color="auto"/>
      </w:divBdr>
    </w:div>
    <w:div w:id="873687476">
      <w:bodyDiv w:val="1"/>
      <w:marLeft w:val="0"/>
      <w:marRight w:val="0"/>
      <w:marTop w:val="0"/>
      <w:marBottom w:val="0"/>
      <w:divBdr>
        <w:top w:val="none" w:sz="0" w:space="0" w:color="auto"/>
        <w:left w:val="none" w:sz="0" w:space="0" w:color="auto"/>
        <w:bottom w:val="none" w:sz="0" w:space="0" w:color="auto"/>
        <w:right w:val="none" w:sz="0" w:space="0" w:color="auto"/>
      </w:divBdr>
    </w:div>
    <w:div w:id="981039827">
      <w:bodyDiv w:val="1"/>
      <w:marLeft w:val="0"/>
      <w:marRight w:val="0"/>
      <w:marTop w:val="0"/>
      <w:marBottom w:val="0"/>
      <w:divBdr>
        <w:top w:val="none" w:sz="0" w:space="0" w:color="auto"/>
        <w:left w:val="none" w:sz="0" w:space="0" w:color="auto"/>
        <w:bottom w:val="none" w:sz="0" w:space="0" w:color="auto"/>
        <w:right w:val="none" w:sz="0" w:space="0" w:color="auto"/>
      </w:divBdr>
    </w:div>
    <w:div w:id="997998044">
      <w:bodyDiv w:val="1"/>
      <w:marLeft w:val="0"/>
      <w:marRight w:val="0"/>
      <w:marTop w:val="0"/>
      <w:marBottom w:val="0"/>
      <w:divBdr>
        <w:top w:val="none" w:sz="0" w:space="0" w:color="auto"/>
        <w:left w:val="none" w:sz="0" w:space="0" w:color="auto"/>
        <w:bottom w:val="none" w:sz="0" w:space="0" w:color="auto"/>
        <w:right w:val="none" w:sz="0" w:space="0" w:color="auto"/>
      </w:divBdr>
    </w:div>
    <w:div w:id="1005282930">
      <w:bodyDiv w:val="1"/>
      <w:marLeft w:val="0"/>
      <w:marRight w:val="0"/>
      <w:marTop w:val="0"/>
      <w:marBottom w:val="0"/>
      <w:divBdr>
        <w:top w:val="none" w:sz="0" w:space="0" w:color="auto"/>
        <w:left w:val="none" w:sz="0" w:space="0" w:color="auto"/>
        <w:bottom w:val="none" w:sz="0" w:space="0" w:color="auto"/>
        <w:right w:val="none" w:sz="0" w:space="0" w:color="auto"/>
      </w:divBdr>
    </w:div>
    <w:div w:id="1088112712">
      <w:bodyDiv w:val="1"/>
      <w:marLeft w:val="0"/>
      <w:marRight w:val="0"/>
      <w:marTop w:val="0"/>
      <w:marBottom w:val="0"/>
      <w:divBdr>
        <w:top w:val="none" w:sz="0" w:space="0" w:color="auto"/>
        <w:left w:val="none" w:sz="0" w:space="0" w:color="auto"/>
        <w:bottom w:val="none" w:sz="0" w:space="0" w:color="auto"/>
        <w:right w:val="none" w:sz="0" w:space="0" w:color="auto"/>
      </w:divBdr>
    </w:div>
    <w:div w:id="1141845105">
      <w:bodyDiv w:val="1"/>
      <w:marLeft w:val="0"/>
      <w:marRight w:val="0"/>
      <w:marTop w:val="0"/>
      <w:marBottom w:val="0"/>
      <w:divBdr>
        <w:top w:val="none" w:sz="0" w:space="0" w:color="auto"/>
        <w:left w:val="none" w:sz="0" w:space="0" w:color="auto"/>
        <w:bottom w:val="none" w:sz="0" w:space="0" w:color="auto"/>
        <w:right w:val="none" w:sz="0" w:space="0" w:color="auto"/>
      </w:divBdr>
    </w:div>
    <w:div w:id="1186405951">
      <w:bodyDiv w:val="1"/>
      <w:marLeft w:val="0"/>
      <w:marRight w:val="0"/>
      <w:marTop w:val="0"/>
      <w:marBottom w:val="0"/>
      <w:divBdr>
        <w:top w:val="none" w:sz="0" w:space="0" w:color="auto"/>
        <w:left w:val="none" w:sz="0" w:space="0" w:color="auto"/>
        <w:bottom w:val="none" w:sz="0" w:space="0" w:color="auto"/>
        <w:right w:val="none" w:sz="0" w:space="0" w:color="auto"/>
      </w:divBdr>
    </w:div>
    <w:div w:id="1286884822">
      <w:bodyDiv w:val="1"/>
      <w:marLeft w:val="0"/>
      <w:marRight w:val="0"/>
      <w:marTop w:val="0"/>
      <w:marBottom w:val="0"/>
      <w:divBdr>
        <w:top w:val="none" w:sz="0" w:space="0" w:color="auto"/>
        <w:left w:val="none" w:sz="0" w:space="0" w:color="auto"/>
        <w:bottom w:val="none" w:sz="0" w:space="0" w:color="auto"/>
        <w:right w:val="none" w:sz="0" w:space="0" w:color="auto"/>
      </w:divBdr>
    </w:div>
    <w:div w:id="1297875269">
      <w:bodyDiv w:val="1"/>
      <w:marLeft w:val="0"/>
      <w:marRight w:val="0"/>
      <w:marTop w:val="0"/>
      <w:marBottom w:val="0"/>
      <w:divBdr>
        <w:top w:val="none" w:sz="0" w:space="0" w:color="auto"/>
        <w:left w:val="none" w:sz="0" w:space="0" w:color="auto"/>
        <w:bottom w:val="none" w:sz="0" w:space="0" w:color="auto"/>
        <w:right w:val="none" w:sz="0" w:space="0" w:color="auto"/>
      </w:divBdr>
    </w:div>
    <w:div w:id="1345203345">
      <w:bodyDiv w:val="1"/>
      <w:marLeft w:val="0"/>
      <w:marRight w:val="0"/>
      <w:marTop w:val="0"/>
      <w:marBottom w:val="0"/>
      <w:divBdr>
        <w:top w:val="none" w:sz="0" w:space="0" w:color="auto"/>
        <w:left w:val="none" w:sz="0" w:space="0" w:color="auto"/>
        <w:bottom w:val="none" w:sz="0" w:space="0" w:color="auto"/>
        <w:right w:val="none" w:sz="0" w:space="0" w:color="auto"/>
      </w:divBdr>
    </w:div>
    <w:div w:id="1354302057">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403405749">
      <w:bodyDiv w:val="1"/>
      <w:marLeft w:val="0"/>
      <w:marRight w:val="0"/>
      <w:marTop w:val="0"/>
      <w:marBottom w:val="0"/>
      <w:divBdr>
        <w:top w:val="none" w:sz="0" w:space="0" w:color="auto"/>
        <w:left w:val="none" w:sz="0" w:space="0" w:color="auto"/>
        <w:bottom w:val="none" w:sz="0" w:space="0" w:color="auto"/>
        <w:right w:val="none" w:sz="0" w:space="0" w:color="auto"/>
      </w:divBdr>
    </w:div>
    <w:div w:id="1405906548">
      <w:bodyDiv w:val="1"/>
      <w:marLeft w:val="0"/>
      <w:marRight w:val="0"/>
      <w:marTop w:val="0"/>
      <w:marBottom w:val="0"/>
      <w:divBdr>
        <w:top w:val="none" w:sz="0" w:space="0" w:color="auto"/>
        <w:left w:val="none" w:sz="0" w:space="0" w:color="auto"/>
        <w:bottom w:val="none" w:sz="0" w:space="0" w:color="auto"/>
        <w:right w:val="none" w:sz="0" w:space="0" w:color="auto"/>
      </w:divBdr>
    </w:div>
    <w:div w:id="1420365370">
      <w:bodyDiv w:val="1"/>
      <w:marLeft w:val="0"/>
      <w:marRight w:val="0"/>
      <w:marTop w:val="0"/>
      <w:marBottom w:val="0"/>
      <w:divBdr>
        <w:top w:val="none" w:sz="0" w:space="0" w:color="auto"/>
        <w:left w:val="none" w:sz="0" w:space="0" w:color="auto"/>
        <w:bottom w:val="none" w:sz="0" w:space="0" w:color="auto"/>
        <w:right w:val="none" w:sz="0" w:space="0" w:color="auto"/>
      </w:divBdr>
    </w:div>
    <w:div w:id="1433472891">
      <w:bodyDiv w:val="1"/>
      <w:marLeft w:val="0"/>
      <w:marRight w:val="0"/>
      <w:marTop w:val="0"/>
      <w:marBottom w:val="0"/>
      <w:divBdr>
        <w:top w:val="none" w:sz="0" w:space="0" w:color="auto"/>
        <w:left w:val="none" w:sz="0" w:space="0" w:color="auto"/>
        <w:bottom w:val="none" w:sz="0" w:space="0" w:color="auto"/>
        <w:right w:val="none" w:sz="0" w:space="0" w:color="auto"/>
      </w:divBdr>
    </w:div>
    <w:div w:id="1458714536">
      <w:bodyDiv w:val="1"/>
      <w:marLeft w:val="0"/>
      <w:marRight w:val="0"/>
      <w:marTop w:val="0"/>
      <w:marBottom w:val="0"/>
      <w:divBdr>
        <w:top w:val="none" w:sz="0" w:space="0" w:color="auto"/>
        <w:left w:val="none" w:sz="0" w:space="0" w:color="auto"/>
        <w:bottom w:val="none" w:sz="0" w:space="0" w:color="auto"/>
        <w:right w:val="none" w:sz="0" w:space="0" w:color="auto"/>
      </w:divBdr>
    </w:div>
    <w:div w:id="1514032556">
      <w:bodyDiv w:val="1"/>
      <w:marLeft w:val="0"/>
      <w:marRight w:val="0"/>
      <w:marTop w:val="0"/>
      <w:marBottom w:val="0"/>
      <w:divBdr>
        <w:top w:val="none" w:sz="0" w:space="0" w:color="auto"/>
        <w:left w:val="none" w:sz="0" w:space="0" w:color="auto"/>
        <w:bottom w:val="none" w:sz="0" w:space="0" w:color="auto"/>
        <w:right w:val="none" w:sz="0" w:space="0" w:color="auto"/>
      </w:divBdr>
    </w:div>
    <w:div w:id="1528713513">
      <w:bodyDiv w:val="1"/>
      <w:marLeft w:val="0"/>
      <w:marRight w:val="0"/>
      <w:marTop w:val="0"/>
      <w:marBottom w:val="0"/>
      <w:divBdr>
        <w:top w:val="none" w:sz="0" w:space="0" w:color="auto"/>
        <w:left w:val="none" w:sz="0" w:space="0" w:color="auto"/>
        <w:bottom w:val="none" w:sz="0" w:space="0" w:color="auto"/>
        <w:right w:val="none" w:sz="0" w:space="0" w:color="auto"/>
      </w:divBdr>
    </w:div>
    <w:div w:id="1599026712">
      <w:bodyDiv w:val="1"/>
      <w:marLeft w:val="0"/>
      <w:marRight w:val="0"/>
      <w:marTop w:val="0"/>
      <w:marBottom w:val="0"/>
      <w:divBdr>
        <w:top w:val="none" w:sz="0" w:space="0" w:color="auto"/>
        <w:left w:val="none" w:sz="0" w:space="0" w:color="auto"/>
        <w:bottom w:val="none" w:sz="0" w:space="0" w:color="auto"/>
        <w:right w:val="none" w:sz="0" w:space="0" w:color="auto"/>
      </w:divBdr>
    </w:div>
    <w:div w:id="1646854636">
      <w:bodyDiv w:val="1"/>
      <w:marLeft w:val="0"/>
      <w:marRight w:val="0"/>
      <w:marTop w:val="0"/>
      <w:marBottom w:val="0"/>
      <w:divBdr>
        <w:top w:val="none" w:sz="0" w:space="0" w:color="auto"/>
        <w:left w:val="none" w:sz="0" w:space="0" w:color="auto"/>
        <w:bottom w:val="none" w:sz="0" w:space="0" w:color="auto"/>
        <w:right w:val="none" w:sz="0" w:space="0" w:color="auto"/>
      </w:divBdr>
    </w:div>
    <w:div w:id="1698964737">
      <w:bodyDiv w:val="1"/>
      <w:marLeft w:val="0"/>
      <w:marRight w:val="0"/>
      <w:marTop w:val="0"/>
      <w:marBottom w:val="0"/>
      <w:divBdr>
        <w:top w:val="none" w:sz="0" w:space="0" w:color="auto"/>
        <w:left w:val="none" w:sz="0" w:space="0" w:color="auto"/>
        <w:bottom w:val="none" w:sz="0" w:space="0" w:color="auto"/>
        <w:right w:val="none" w:sz="0" w:space="0" w:color="auto"/>
      </w:divBdr>
    </w:div>
    <w:div w:id="1719668163">
      <w:bodyDiv w:val="1"/>
      <w:marLeft w:val="0"/>
      <w:marRight w:val="0"/>
      <w:marTop w:val="0"/>
      <w:marBottom w:val="0"/>
      <w:divBdr>
        <w:top w:val="none" w:sz="0" w:space="0" w:color="auto"/>
        <w:left w:val="none" w:sz="0" w:space="0" w:color="auto"/>
        <w:bottom w:val="none" w:sz="0" w:space="0" w:color="auto"/>
        <w:right w:val="none" w:sz="0" w:space="0" w:color="auto"/>
      </w:divBdr>
    </w:div>
    <w:div w:id="1757362140">
      <w:bodyDiv w:val="1"/>
      <w:marLeft w:val="0"/>
      <w:marRight w:val="0"/>
      <w:marTop w:val="0"/>
      <w:marBottom w:val="0"/>
      <w:divBdr>
        <w:top w:val="none" w:sz="0" w:space="0" w:color="auto"/>
        <w:left w:val="none" w:sz="0" w:space="0" w:color="auto"/>
        <w:bottom w:val="none" w:sz="0" w:space="0" w:color="auto"/>
        <w:right w:val="none" w:sz="0" w:space="0" w:color="auto"/>
      </w:divBdr>
    </w:div>
    <w:div w:id="1797720169">
      <w:bodyDiv w:val="1"/>
      <w:marLeft w:val="0"/>
      <w:marRight w:val="0"/>
      <w:marTop w:val="0"/>
      <w:marBottom w:val="0"/>
      <w:divBdr>
        <w:top w:val="none" w:sz="0" w:space="0" w:color="auto"/>
        <w:left w:val="none" w:sz="0" w:space="0" w:color="auto"/>
        <w:bottom w:val="none" w:sz="0" w:space="0" w:color="auto"/>
        <w:right w:val="none" w:sz="0" w:space="0" w:color="auto"/>
      </w:divBdr>
    </w:div>
    <w:div w:id="1849981481">
      <w:bodyDiv w:val="1"/>
      <w:marLeft w:val="0"/>
      <w:marRight w:val="0"/>
      <w:marTop w:val="0"/>
      <w:marBottom w:val="0"/>
      <w:divBdr>
        <w:top w:val="none" w:sz="0" w:space="0" w:color="auto"/>
        <w:left w:val="none" w:sz="0" w:space="0" w:color="auto"/>
        <w:bottom w:val="none" w:sz="0" w:space="0" w:color="auto"/>
        <w:right w:val="none" w:sz="0" w:space="0" w:color="auto"/>
      </w:divBdr>
    </w:div>
    <w:div w:id="1876039942">
      <w:bodyDiv w:val="1"/>
      <w:marLeft w:val="0"/>
      <w:marRight w:val="0"/>
      <w:marTop w:val="0"/>
      <w:marBottom w:val="0"/>
      <w:divBdr>
        <w:top w:val="none" w:sz="0" w:space="0" w:color="auto"/>
        <w:left w:val="none" w:sz="0" w:space="0" w:color="auto"/>
        <w:bottom w:val="none" w:sz="0" w:space="0" w:color="auto"/>
        <w:right w:val="none" w:sz="0" w:space="0" w:color="auto"/>
      </w:divBdr>
    </w:div>
    <w:div w:id="1877155454">
      <w:bodyDiv w:val="1"/>
      <w:marLeft w:val="0"/>
      <w:marRight w:val="0"/>
      <w:marTop w:val="0"/>
      <w:marBottom w:val="0"/>
      <w:divBdr>
        <w:top w:val="none" w:sz="0" w:space="0" w:color="auto"/>
        <w:left w:val="none" w:sz="0" w:space="0" w:color="auto"/>
        <w:bottom w:val="none" w:sz="0" w:space="0" w:color="auto"/>
        <w:right w:val="none" w:sz="0" w:space="0" w:color="auto"/>
      </w:divBdr>
    </w:div>
    <w:div w:id="1878393261">
      <w:bodyDiv w:val="1"/>
      <w:marLeft w:val="0"/>
      <w:marRight w:val="0"/>
      <w:marTop w:val="0"/>
      <w:marBottom w:val="0"/>
      <w:divBdr>
        <w:top w:val="none" w:sz="0" w:space="0" w:color="auto"/>
        <w:left w:val="none" w:sz="0" w:space="0" w:color="auto"/>
        <w:bottom w:val="none" w:sz="0" w:space="0" w:color="auto"/>
        <w:right w:val="none" w:sz="0" w:space="0" w:color="auto"/>
      </w:divBdr>
    </w:div>
    <w:div w:id="2039428727">
      <w:bodyDiv w:val="1"/>
      <w:marLeft w:val="0"/>
      <w:marRight w:val="0"/>
      <w:marTop w:val="0"/>
      <w:marBottom w:val="0"/>
      <w:divBdr>
        <w:top w:val="none" w:sz="0" w:space="0" w:color="auto"/>
        <w:left w:val="none" w:sz="0" w:space="0" w:color="auto"/>
        <w:bottom w:val="none" w:sz="0" w:space="0" w:color="auto"/>
        <w:right w:val="none" w:sz="0" w:space="0" w:color="auto"/>
      </w:divBdr>
    </w:div>
    <w:div w:id="2071227056">
      <w:bodyDiv w:val="1"/>
      <w:marLeft w:val="0"/>
      <w:marRight w:val="0"/>
      <w:marTop w:val="0"/>
      <w:marBottom w:val="0"/>
      <w:divBdr>
        <w:top w:val="none" w:sz="0" w:space="0" w:color="auto"/>
        <w:left w:val="none" w:sz="0" w:space="0" w:color="auto"/>
        <w:bottom w:val="none" w:sz="0" w:space="0" w:color="auto"/>
        <w:right w:val="none" w:sz="0" w:space="0" w:color="auto"/>
      </w:divBdr>
    </w:div>
    <w:div w:id="212148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ki/Post_Cold_War_era" TargetMode="External"/><Relationship Id="rId22" Type="http://schemas.openxmlformats.org/officeDocument/2006/relationships/image" Target="media/image10.png"/><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atahelpdesk.worldbank.org/knowledgebase/articles/114947-what-is-the-difference-between-purchaser-prices-p" TargetMode="External"/><Relationship Id="rId7" Type="http://schemas.openxmlformats.org/officeDocument/2006/relationships/hyperlink" Target="http://www.oecd.org/industry/ind/measuringtradeinvalue-addedanoecd-wtojointinitiative.htm" TargetMode="External"/><Relationship Id="rId2" Type="http://schemas.openxmlformats.org/officeDocument/2006/relationships/hyperlink" Target="http://www.cepii.fr/anglaisgraph/bdd/baci.htm" TargetMode="External"/><Relationship Id="rId1" Type="http://schemas.openxmlformats.org/officeDocument/2006/relationships/hyperlink" Target="http://www.globalvaluechains.org" TargetMode="External"/><Relationship Id="rId6" Type="http://schemas.openxmlformats.org/officeDocument/2006/relationships/hyperlink" Target="http://www.oecd.org/industry/ind/stanstructuralanalysisdatabase.htm" TargetMode="External"/><Relationship Id="rId5" Type="http://schemas.openxmlformats.org/officeDocument/2006/relationships/hyperlink" Target="http://www.oecd.org/trade/its/oecdstatisticsoninternationaltradeinservicesdetailedtablesbypartnercountry2004-20072009edition.htm" TargetMode="External"/><Relationship Id="rId4" Type="http://schemas.openxmlformats.org/officeDocument/2006/relationships/hyperlink" Target="http://www.oecd.org/trade/bilateraltradeingoodsbyindustryandend-usecategory.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D7A92-F069-40F9-8360-E4037BC7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6383</Words>
  <Characters>34471</Characters>
  <Application>Microsoft Office Word</Application>
  <DocSecurity>0</DocSecurity>
  <Lines>287</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FRONTPAGE</vt:lpstr>
      <vt:lpstr>FRONTPAGE</vt:lpstr>
    </vt:vector>
  </TitlesOfParts>
  <Company>Enrique Martínez</Company>
  <LinksUpToDate>false</LinksUpToDate>
  <CharactersWithSpaces>40773</CharactersWithSpaces>
  <SharedDoc>false</SharedDoc>
  <HLinks>
    <vt:vector size="534" baseType="variant">
      <vt:variant>
        <vt:i4>5177369</vt:i4>
      </vt:variant>
      <vt:variant>
        <vt:i4>747</vt:i4>
      </vt:variant>
      <vt:variant>
        <vt:i4>0</vt:i4>
      </vt:variant>
      <vt:variant>
        <vt:i4>5</vt:i4>
      </vt:variant>
      <vt:variant>
        <vt:lpwstr>http://www3.weforum.org/docs/WEF_SCT_EnablingTrade_Report_2013.pdf</vt:lpwstr>
      </vt:variant>
      <vt:variant>
        <vt:lpwstr/>
      </vt:variant>
      <vt:variant>
        <vt:i4>6160401</vt:i4>
      </vt:variant>
      <vt:variant>
        <vt:i4>744</vt:i4>
      </vt:variant>
      <vt:variant>
        <vt:i4>0</vt:i4>
      </vt:variant>
      <vt:variant>
        <vt:i4>5</vt:i4>
      </vt:variant>
      <vt:variant>
        <vt:lpwstr>http://europa.eu/rapid/press-release_SPEECH-12-264_en.htm</vt:lpwstr>
      </vt:variant>
      <vt:variant>
        <vt:lpwstr/>
      </vt:variant>
      <vt:variant>
        <vt:i4>8257568</vt:i4>
      </vt:variant>
      <vt:variant>
        <vt:i4>741</vt:i4>
      </vt:variant>
      <vt:variant>
        <vt:i4>0</vt:i4>
      </vt:variant>
      <vt:variant>
        <vt:i4>5</vt:i4>
      </vt:variant>
      <vt:variant>
        <vt:lpwstr>http://unctad.org/en/pages/PressRelease.aspx?OriginalVersionID=113</vt:lpwstr>
      </vt:variant>
      <vt:variant>
        <vt:lpwstr/>
      </vt:variant>
      <vt:variant>
        <vt:i4>65628</vt:i4>
      </vt:variant>
      <vt:variant>
        <vt:i4>738</vt:i4>
      </vt:variant>
      <vt:variant>
        <vt:i4>0</vt:i4>
      </vt:variant>
      <vt:variant>
        <vt:i4>5</vt:i4>
      </vt:variant>
      <vt:variant>
        <vt:lpwstr>http://www.wiod.org/publications/source_docs/WIOD_sources.pdf</vt:lpwstr>
      </vt:variant>
      <vt:variant>
        <vt:lpwstr/>
      </vt:variant>
      <vt:variant>
        <vt:i4>4718657</vt:i4>
      </vt:variant>
      <vt:variant>
        <vt:i4>735</vt:i4>
      </vt:variant>
      <vt:variant>
        <vt:i4>0</vt:i4>
      </vt:variant>
      <vt:variant>
        <vt:i4>5</vt:i4>
      </vt:variant>
      <vt:variant>
        <vt:lpwstr>http://www.wiod.org/publications/papers/wiod9.pdf</vt:lpwstr>
      </vt:variant>
      <vt:variant>
        <vt:lpwstr/>
      </vt:variant>
      <vt:variant>
        <vt:i4>2490483</vt:i4>
      </vt:variant>
      <vt:variant>
        <vt:i4>732</vt:i4>
      </vt:variant>
      <vt:variant>
        <vt:i4>0</vt:i4>
      </vt:variant>
      <vt:variant>
        <vt:i4>5</vt:i4>
      </vt:variant>
      <vt:variant>
        <vt:lpwstr>http://www.wiod.org/publications/papers/wiod12.pdf</vt:lpwstr>
      </vt:variant>
      <vt:variant>
        <vt:lpwstr/>
      </vt:variant>
      <vt:variant>
        <vt:i4>4718666</vt:i4>
      </vt:variant>
      <vt:variant>
        <vt:i4>729</vt:i4>
      </vt:variant>
      <vt:variant>
        <vt:i4>0</vt:i4>
      </vt:variant>
      <vt:variant>
        <vt:i4>5</vt:i4>
      </vt:variant>
      <vt:variant>
        <vt:lpwstr>http://www.wiod.org/publications/papers/wiod2.pdf</vt:lpwstr>
      </vt:variant>
      <vt:variant>
        <vt:lpwstr/>
      </vt:variant>
      <vt:variant>
        <vt:i4>4718667</vt:i4>
      </vt:variant>
      <vt:variant>
        <vt:i4>726</vt:i4>
      </vt:variant>
      <vt:variant>
        <vt:i4>0</vt:i4>
      </vt:variant>
      <vt:variant>
        <vt:i4>5</vt:i4>
      </vt:variant>
      <vt:variant>
        <vt:lpwstr>http://www.wiod.org/publications/papers/wiod3.pdf</vt:lpwstr>
      </vt:variant>
      <vt:variant>
        <vt:lpwstr/>
      </vt:variant>
      <vt:variant>
        <vt:i4>2556019</vt:i4>
      </vt:variant>
      <vt:variant>
        <vt:i4>723</vt:i4>
      </vt:variant>
      <vt:variant>
        <vt:i4>0</vt:i4>
      </vt:variant>
      <vt:variant>
        <vt:i4>5</vt:i4>
      </vt:variant>
      <vt:variant>
        <vt:lpwstr>http://www.wiod.org/publications/papers/wiod13.pdf</vt:lpwstr>
      </vt:variant>
      <vt:variant>
        <vt:lpwstr/>
      </vt:variant>
      <vt:variant>
        <vt:i4>4718671</vt:i4>
      </vt:variant>
      <vt:variant>
        <vt:i4>720</vt:i4>
      </vt:variant>
      <vt:variant>
        <vt:i4>0</vt:i4>
      </vt:variant>
      <vt:variant>
        <vt:i4>5</vt:i4>
      </vt:variant>
      <vt:variant>
        <vt:lpwstr>http://www.wiod.org/publications/papers/wiod7.pdf</vt:lpwstr>
      </vt:variant>
      <vt:variant>
        <vt:lpwstr/>
      </vt:variant>
      <vt:variant>
        <vt:i4>7536675</vt:i4>
      </vt:variant>
      <vt:variant>
        <vt:i4>717</vt:i4>
      </vt:variant>
      <vt:variant>
        <vt:i4>0</vt:i4>
      </vt:variant>
      <vt:variant>
        <vt:i4>5</vt:i4>
      </vt:variant>
      <vt:variant>
        <vt:lpwstr>http://www.wiod.org/conferences/groningen/Paper_St%C3%B6llinger_Stehrer.pdf</vt:lpwstr>
      </vt:variant>
      <vt:variant>
        <vt:lpwstr/>
      </vt:variant>
      <vt:variant>
        <vt:i4>4718656</vt:i4>
      </vt:variant>
      <vt:variant>
        <vt:i4>714</vt:i4>
      </vt:variant>
      <vt:variant>
        <vt:i4>0</vt:i4>
      </vt:variant>
      <vt:variant>
        <vt:i4>5</vt:i4>
      </vt:variant>
      <vt:variant>
        <vt:lpwstr>http://www.wiod.org/publications/papers/wiod8.pdf</vt:lpwstr>
      </vt:variant>
      <vt:variant>
        <vt:lpwstr/>
      </vt:variant>
      <vt:variant>
        <vt:i4>1179724</vt:i4>
      </vt:variant>
      <vt:variant>
        <vt:i4>711</vt:i4>
      </vt:variant>
      <vt:variant>
        <vt:i4>0</vt:i4>
      </vt:variant>
      <vt:variant>
        <vt:i4>5</vt:i4>
      </vt:variant>
      <vt:variant>
        <vt:lpwstr>http://www.oxan.com/display.aspx?ItemID=DB181016</vt:lpwstr>
      </vt:variant>
      <vt:variant>
        <vt:lpwstr/>
      </vt:variant>
      <vt:variant>
        <vt:i4>3473430</vt:i4>
      </vt:variant>
      <vt:variant>
        <vt:i4>708</vt:i4>
      </vt:variant>
      <vt:variant>
        <vt:i4>0</vt:i4>
      </vt:variant>
      <vt:variant>
        <vt:i4>5</vt:i4>
      </vt:variant>
      <vt:variant>
        <vt:lpwstr>http://www.wto.org/english/res_e/statis_e/miwi_e/tradedataday13_e/oecdbrochurejanv13_e.pdf</vt:lpwstr>
      </vt:variant>
      <vt:variant>
        <vt:lpwstr/>
      </vt:variant>
      <vt:variant>
        <vt:i4>3539045</vt:i4>
      </vt:variant>
      <vt:variant>
        <vt:i4>705</vt:i4>
      </vt:variant>
      <vt:variant>
        <vt:i4>0</vt:i4>
      </vt:variant>
      <vt:variant>
        <vt:i4>5</vt:i4>
      </vt:variant>
      <vt:variant>
        <vt:lpwstr>http://www.wto.org/english/res_e/statis_e/miwi_e/oecd_wto_mar2012_e.doc</vt:lpwstr>
      </vt:variant>
      <vt:variant>
        <vt:lpwstr/>
      </vt:variant>
      <vt:variant>
        <vt:i4>2097187</vt:i4>
      </vt:variant>
      <vt:variant>
        <vt:i4>702</vt:i4>
      </vt:variant>
      <vt:variant>
        <vt:i4>0</vt:i4>
      </vt:variant>
      <vt:variant>
        <vt:i4>5</vt:i4>
      </vt:variant>
      <vt:variant>
        <vt:lpwstr>http://www.oecd.org/sti/ind/interconnected-economies-GVCs-synthesis.pdf</vt:lpwstr>
      </vt:variant>
      <vt:variant>
        <vt:lpwstr/>
      </vt:variant>
      <vt:variant>
        <vt:i4>4980739</vt:i4>
      </vt:variant>
      <vt:variant>
        <vt:i4>699</vt:i4>
      </vt:variant>
      <vt:variant>
        <vt:i4>0</vt:i4>
      </vt:variant>
      <vt:variant>
        <vt:i4>5</vt:i4>
      </vt:variant>
      <vt:variant>
        <vt:lpwstr>http://www.kommers.se/upload/Analysarkiv/Arbetsomr%C3%A5den/EUs yttre handelspolitik/AddingvaluetotheEuropeaneconomy.pdf</vt:lpwstr>
      </vt:variant>
      <vt:variant>
        <vt:lpwstr/>
      </vt:variant>
      <vt:variant>
        <vt:i4>4325406</vt:i4>
      </vt:variant>
      <vt:variant>
        <vt:i4>696</vt:i4>
      </vt:variant>
      <vt:variant>
        <vt:i4>0</vt:i4>
      </vt:variant>
      <vt:variant>
        <vt:i4>5</vt:i4>
      </vt:variant>
      <vt:variant>
        <vt:lpwstr>http://www.oecd.org/std/its/44056524.pdf</vt:lpwstr>
      </vt:variant>
      <vt:variant>
        <vt:lpwstr/>
      </vt:variant>
      <vt:variant>
        <vt:i4>2424947</vt:i4>
      </vt:variant>
      <vt:variant>
        <vt:i4>693</vt:i4>
      </vt:variant>
      <vt:variant>
        <vt:i4>0</vt:i4>
      </vt:variant>
      <vt:variant>
        <vt:i4>5</vt:i4>
      </vt:variant>
      <vt:variant>
        <vt:lpwstr>http://www.wiod.org/publications/papers/wiod11.pdf</vt:lpwstr>
      </vt:variant>
      <vt:variant>
        <vt:lpwstr/>
      </vt:variant>
      <vt:variant>
        <vt:i4>6881400</vt:i4>
      </vt:variant>
      <vt:variant>
        <vt:i4>690</vt:i4>
      </vt:variant>
      <vt:variant>
        <vt:i4>0</vt:i4>
      </vt:variant>
      <vt:variant>
        <vt:i4>5</vt:i4>
      </vt:variant>
      <vt:variant>
        <vt:lpwstr>http://pcic.merage.uci.edu/papers/2011/Value_iPad_iPhone.pdf</vt:lpwstr>
      </vt:variant>
      <vt:variant>
        <vt:lpwstr/>
      </vt:variant>
      <vt:variant>
        <vt:i4>4718630</vt:i4>
      </vt:variant>
      <vt:variant>
        <vt:i4>687</vt:i4>
      </vt:variant>
      <vt:variant>
        <vt:i4>0</vt:i4>
      </vt:variant>
      <vt:variant>
        <vt:i4>5</vt:i4>
      </vt:variant>
      <vt:variant>
        <vt:lpwstr>http://www.wto.org/english/news_e/sppl_e/sppl261_e.htm</vt:lpwstr>
      </vt:variant>
      <vt:variant>
        <vt:lpwstr/>
      </vt:variant>
      <vt:variant>
        <vt:i4>4718629</vt:i4>
      </vt:variant>
      <vt:variant>
        <vt:i4>684</vt:i4>
      </vt:variant>
      <vt:variant>
        <vt:i4>0</vt:i4>
      </vt:variant>
      <vt:variant>
        <vt:i4>5</vt:i4>
      </vt:variant>
      <vt:variant>
        <vt:lpwstr>http://www.wto.org/english/news_e/sppl_e/sppl152_e.htm</vt:lpwstr>
      </vt:variant>
      <vt:variant>
        <vt:lpwstr/>
      </vt:variant>
      <vt:variant>
        <vt:i4>4718670</vt:i4>
      </vt:variant>
      <vt:variant>
        <vt:i4>681</vt:i4>
      </vt:variant>
      <vt:variant>
        <vt:i4>0</vt:i4>
      </vt:variant>
      <vt:variant>
        <vt:i4>5</vt:i4>
      </vt:variant>
      <vt:variant>
        <vt:lpwstr>http://www.wiod.org/publications/papers/wiod6.pdf</vt:lpwstr>
      </vt:variant>
      <vt:variant>
        <vt:lpwstr/>
      </vt:variant>
      <vt:variant>
        <vt:i4>4718668</vt:i4>
      </vt:variant>
      <vt:variant>
        <vt:i4>678</vt:i4>
      </vt:variant>
      <vt:variant>
        <vt:i4>0</vt:i4>
      </vt:variant>
      <vt:variant>
        <vt:i4>5</vt:i4>
      </vt:variant>
      <vt:variant>
        <vt:lpwstr>http://www.wiod.org/publications/papers/wiod4.pdf</vt:lpwstr>
      </vt:variant>
      <vt:variant>
        <vt:lpwstr/>
      </vt:variant>
      <vt:variant>
        <vt:i4>2293796</vt:i4>
      </vt:variant>
      <vt:variant>
        <vt:i4>675</vt:i4>
      </vt:variant>
      <vt:variant>
        <vt:i4>0</vt:i4>
      </vt:variant>
      <vt:variant>
        <vt:i4>5</vt:i4>
      </vt:variant>
      <vt:variant>
        <vt:lpwstr>http://www.voxeu.org/article/japans-earthquake-and-tsunami-global-supply-chain-impacts</vt:lpwstr>
      </vt:variant>
      <vt:variant>
        <vt:lpwstr/>
      </vt:variant>
      <vt:variant>
        <vt:i4>1638481</vt:i4>
      </vt:variant>
      <vt:variant>
        <vt:i4>672</vt:i4>
      </vt:variant>
      <vt:variant>
        <vt:i4>0</vt:i4>
      </vt:variant>
      <vt:variant>
        <vt:i4>5</vt:i4>
      </vt:variant>
      <vt:variant>
        <vt:lpwstr>http://www.voxeu.org/article/new-world-input-output-database</vt:lpwstr>
      </vt:variant>
      <vt:variant>
        <vt:lpwstr/>
      </vt:variant>
      <vt:variant>
        <vt:i4>4718669</vt:i4>
      </vt:variant>
      <vt:variant>
        <vt:i4>669</vt:i4>
      </vt:variant>
      <vt:variant>
        <vt:i4>0</vt:i4>
      </vt:variant>
      <vt:variant>
        <vt:i4>5</vt:i4>
      </vt:variant>
      <vt:variant>
        <vt:lpwstr>http://www.wiod.org/publications/papers/wiod5.pdf</vt:lpwstr>
      </vt:variant>
      <vt:variant>
        <vt:lpwstr/>
      </vt:variant>
      <vt:variant>
        <vt:i4>6160401</vt:i4>
      </vt:variant>
      <vt:variant>
        <vt:i4>666</vt:i4>
      </vt:variant>
      <vt:variant>
        <vt:i4>0</vt:i4>
      </vt:variant>
      <vt:variant>
        <vt:i4>5</vt:i4>
      </vt:variant>
      <vt:variant>
        <vt:lpwstr>http://europa.eu/rapid/press-release_SPEECH-12-264_en.htm</vt:lpwstr>
      </vt:variant>
      <vt:variant>
        <vt:lpwstr/>
      </vt:variant>
      <vt:variant>
        <vt:i4>4784178</vt:i4>
      </vt:variant>
      <vt:variant>
        <vt:i4>312</vt:i4>
      </vt:variant>
      <vt:variant>
        <vt:i4>0</vt:i4>
      </vt:variant>
      <vt:variant>
        <vt:i4>5</vt:i4>
      </vt:variant>
      <vt:variant>
        <vt:lpwstr>http://en.wikipedia.org/wiki/Post_Cold_War_era</vt:lpwstr>
      </vt:variant>
      <vt:variant>
        <vt:lpwstr/>
      </vt:variant>
      <vt:variant>
        <vt:i4>1572923</vt:i4>
      </vt:variant>
      <vt:variant>
        <vt:i4>305</vt:i4>
      </vt:variant>
      <vt:variant>
        <vt:i4>0</vt:i4>
      </vt:variant>
      <vt:variant>
        <vt:i4>5</vt:i4>
      </vt:variant>
      <vt:variant>
        <vt:lpwstr/>
      </vt:variant>
      <vt:variant>
        <vt:lpwstr>_Toc358714199</vt:lpwstr>
      </vt:variant>
      <vt:variant>
        <vt:i4>1572923</vt:i4>
      </vt:variant>
      <vt:variant>
        <vt:i4>299</vt:i4>
      </vt:variant>
      <vt:variant>
        <vt:i4>0</vt:i4>
      </vt:variant>
      <vt:variant>
        <vt:i4>5</vt:i4>
      </vt:variant>
      <vt:variant>
        <vt:lpwstr/>
      </vt:variant>
      <vt:variant>
        <vt:lpwstr>_Toc358714198</vt:lpwstr>
      </vt:variant>
      <vt:variant>
        <vt:i4>1572923</vt:i4>
      </vt:variant>
      <vt:variant>
        <vt:i4>293</vt:i4>
      </vt:variant>
      <vt:variant>
        <vt:i4>0</vt:i4>
      </vt:variant>
      <vt:variant>
        <vt:i4>5</vt:i4>
      </vt:variant>
      <vt:variant>
        <vt:lpwstr/>
      </vt:variant>
      <vt:variant>
        <vt:lpwstr>_Toc358714197</vt:lpwstr>
      </vt:variant>
      <vt:variant>
        <vt:i4>1572923</vt:i4>
      </vt:variant>
      <vt:variant>
        <vt:i4>287</vt:i4>
      </vt:variant>
      <vt:variant>
        <vt:i4>0</vt:i4>
      </vt:variant>
      <vt:variant>
        <vt:i4>5</vt:i4>
      </vt:variant>
      <vt:variant>
        <vt:lpwstr/>
      </vt:variant>
      <vt:variant>
        <vt:lpwstr>_Toc358714196</vt:lpwstr>
      </vt:variant>
      <vt:variant>
        <vt:i4>1572923</vt:i4>
      </vt:variant>
      <vt:variant>
        <vt:i4>281</vt:i4>
      </vt:variant>
      <vt:variant>
        <vt:i4>0</vt:i4>
      </vt:variant>
      <vt:variant>
        <vt:i4>5</vt:i4>
      </vt:variant>
      <vt:variant>
        <vt:lpwstr/>
      </vt:variant>
      <vt:variant>
        <vt:lpwstr>_Toc358714195</vt:lpwstr>
      </vt:variant>
      <vt:variant>
        <vt:i4>1572923</vt:i4>
      </vt:variant>
      <vt:variant>
        <vt:i4>275</vt:i4>
      </vt:variant>
      <vt:variant>
        <vt:i4>0</vt:i4>
      </vt:variant>
      <vt:variant>
        <vt:i4>5</vt:i4>
      </vt:variant>
      <vt:variant>
        <vt:lpwstr/>
      </vt:variant>
      <vt:variant>
        <vt:lpwstr>_Toc358714194</vt:lpwstr>
      </vt:variant>
      <vt:variant>
        <vt:i4>1572923</vt:i4>
      </vt:variant>
      <vt:variant>
        <vt:i4>269</vt:i4>
      </vt:variant>
      <vt:variant>
        <vt:i4>0</vt:i4>
      </vt:variant>
      <vt:variant>
        <vt:i4>5</vt:i4>
      </vt:variant>
      <vt:variant>
        <vt:lpwstr/>
      </vt:variant>
      <vt:variant>
        <vt:lpwstr>_Toc358714193</vt:lpwstr>
      </vt:variant>
      <vt:variant>
        <vt:i4>1572923</vt:i4>
      </vt:variant>
      <vt:variant>
        <vt:i4>263</vt:i4>
      </vt:variant>
      <vt:variant>
        <vt:i4>0</vt:i4>
      </vt:variant>
      <vt:variant>
        <vt:i4>5</vt:i4>
      </vt:variant>
      <vt:variant>
        <vt:lpwstr/>
      </vt:variant>
      <vt:variant>
        <vt:lpwstr>_Toc358714192</vt:lpwstr>
      </vt:variant>
      <vt:variant>
        <vt:i4>1572923</vt:i4>
      </vt:variant>
      <vt:variant>
        <vt:i4>257</vt:i4>
      </vt:variant>
      <vt:variant>
        <vt:i4>0</vt:i4>
      </vt:variant>
      <vt:variant>
        <vt:i4>5</vt:i4>
      </vt:variant>
      <vt:variant>
        <vt:lpwstr/>
      </vt:variant>
      <vt:variant>
        <vt:lpwstr>_Toc358714191</vt:lpwstr>
      </vt:variant>
      <vt:variant>
        <vt:i4>2031665</vt:i4>
      </vt:variant>
      <vt:variant>
        <vt:i4>248</vt:i4>
      </vt:variant>
      <vt:variant>
        <vt:i4>0</vt:i4>
      </vt:variant>
      <vt:variant>
        <vt:i4>5</vt:i4>
      </vt:variant>
      <vt:variant>
        <vt:lpwstr/>
      </vt:variant>
      <vt:variant>
        <vt:lpwstr>_Toc383676600</vt:lpwstr>
      </vt:variant>
      <vt:variant>
        <vt:i4>1441842</vt:i4>
      </vt:variant>
      <vt:variant>
        <vt:i4>242</vt:i4>
      </vt:variant>
      <vt:variant>
        <vt:i4>0</vt:i4>
      </vt:variant>
      <vt:variant>
        <vt:i4>5</vt:i4>
      </vt:variant>
      <vt:variant>
        <vt:lpwstr/>
      </vt:variant>
      <vt:variant>
        <vt:lpwstr>_Toc383676599</vt:lpwstr>
      </vt:variant>
      <vt:variant>
        <vt:i4>1441842</vt:i4>
      </vt:variant>
      <vt:variant>
        <vt:i4>236</vt:i4>
      </vt:variant>
      <vt:variant>
        <vt:i4>0</vt:i4>
      </vt:variant>
      <vt:variant>
        <vt:i4>5</vt:i4>
      </vt:variant>
      <vt:variant>
        <vt:lpwstr/>
      </vt:variant>
      <vt:variant>
        <vt:lpwstr>_Toc383676598</vt:lpwstr>
      </vt:variant>
      <vt:variant>
        <vt:i4>1441842</vt:i4>
      </vt:variant>
      <vt:variant>
        <vt:i4>230</vt:i4>
      </vt:variant>
      <vt:variant>
        <vt:i4>0</vt:i4>
      </vt:variant>
      <vt:variant>
        <vt:i4>5</vt:i4>
      </vt:variant>
      <vt:variant>
        <vt:lpwstr/>
      </vt:variant>
      <vt:variant>
        <vt:lpwstr>_Toc383676597</vt:lpwstr>
      </vt:variant>
      <vt:variant>
        <vt:i4>1441842</vt:i4>
      </vt:variant>
      <vt:variant>
        <vt:i4>224</vt:i4>
      </vt:variant>
      <vt:variant>
        <vt:i4>0</vt:i4>
      </vt:variant>
      <vt:variant>
        <vt:i4>5</vt:i4>
      </vt:variant>
      <vt:variant>
        <vt:lpwstr/>
      </vt:variant>
      <vt:variant>
        <vt:lpwstr>_Toc383676596</vt:lpwstr>
      </vt:variant>
      <vt:variant>
        <vt:i4>7077952</vt:i4>
      </vt:variant>
      <vt:variant>
        <vt:i4>219</vt:i4>
      </vt:variant>
      <vt:variant>
        <vt:i4>0</vt:i4>
      </vt:variant>
      <vt:variant>
        <vt:i4>5</vt:i4>
      </vt:variant>
      <vt:variant>
        <vt:lpwstr>mailto:enriquegalanyvelasco@yahoo.es</vt:lpwstr>
      </vt:variant>
      <vt:variant>
        <vt:lpwstr/>
      </vt:variant>
      <vt:variant>
        <vt:i4>1507380</vt:i4>
      </vt:variant>
      <vt:variant>
        <vt:i4>212</vt:i4>
      </vt:variant>
      <vt:variant>
        <vt:i4>0</vt:i4>
      </vt:variant>
      <vt:variant>
        <vt:i4>5</vt:i4>
      </vt:variant>
      <vt:variant>
        <vt:lpwstr/>
      </vt:variant>
      <vt:variant>
        <vt:lpwstr>_Toc384824146</vt:lpwstr>
      </vt:variant>
      <vt:variant>
        <vt:i4>1507380</vt:i4>
      </vt:variant>
      <vt:variant>
        <vt:i4>206</vt:i4>
      </vt:variant>
      <vt:variant>
        <vt:i4>0</vt:i4>
      </vt:variant>
      <vt:variant>
        <vt:i4>5</vt:i4>
      </vt:variant>
      <vt:variant>
        <vt:lpwstr/>
      </vt:variant>
      <vt:variant>
        <vt:lpwstr>_Toc384824145</vt:lpwstr>
      </vt:variant>
      <vt:variant>
        <vt:i4>1507380</vt:i4>
      </vt:variant>
      <vt:variant>
        <vt:i4>200</vt:i4>
      </vt:variant>
      <vt:variant>
        <vt:i4>0</vt:i4>
      </vt:variant>
      <vt:variant>
        <vt:i4>5</vt:i4>
      </vt:variant>
      <vt:variant>
        <vt:lpwstr/>
      </vt:variant>
      <vt:variant>
        <vt:lpwstr>_Toc384824144</vt:lpwstr>
      </vt:variant>
      <vt:variant>
        <vt:i4>1507380</vt:i4>
      </vt:variant>
      <vt:variant>
        <vt:i4>194</vt:i4>
      </vt:variant>
      <vt:variant>
        <vt:i4>0</vt:i4>
      </vt:variant>
      <vt:variant>
        <vt:i4>5</vt:i4>
      </vt:variant>
      <vt:variant>
        <vt:lpwstr/>
      </vt:variant>
      <vt:variant>
        <vt:lpwstr>_Toc384824143</vt:lpwstr>
      </vt:variant>
      <vt:variant>
        <vt:i4>1507380</vt:i4>
      </vt:variant>
      <vt:variant>
        <vt:i4>188</vt:i4>
      </vt:variant>
      <vt:variant>
        <vt:i4>0</vt:i4>
      </vt:variant>
      <vt:variant>
        <vt:i4>5</vt:i4>
      </vt:variant>
      <vt:variant>
        <vt:lpwstr/>
      </vt:variant>
      <vt:variant>
        <vt:lpwstr>_Toc384824142</vt:lpwstr>
      </vt:variant>
      <vt:variant>
        <vt:i4>1507380</vt:i4>
      </vt:variant>
      <vt:variant>
        <vt:i4>182</vt:i4>
      </vt:variant>
      <vt:variant>
        <vt:i4>0</vt:i4>
      </vt:variant>
      <vt:variant>
        <vt:i4>5</vt:i4>
      </vt:variant>
      <vt:variant>
        <vt:lpwstr/>
      </vt:variant>
      <vt:variant>
        <vt:lpwstr>_Toc384824141</vt:lpwstr>
      </vt:variant>
      <vt:variant>
        <vt:i4>1507380</vt:i4>
      </vt:variant>
      <vt:variant>
        <vt:i4>176</vt:i4>
      </vt:variant>
      <vt:variant>
        <vt:i4>0</vt:i4>
      </vt:variant>
      <vt:variant>
        <vt:i4>5</vt:i4>
      </vt:variant>
      <vt:variant>
        <vt:lpwstr/>
      </vt:variant>
      <vt:variant>
        <vt:lpwstr>_Toc384824140</vt:lpwstr>
      </vt:variant>
      <vt:variant>
        <vt:i4>1048628</vt:i4>
      </vt:variant>
      <vt:variant>
        <vt:i4>170</vt:i4>
      </vt:variant>
      <vt:variant>
        <vt:i4>0</vt:i4>
      </vt:variant>
      <vt:variant>
        <vt:i4>5</vt:i4>
      </vt:variant>
      <vt:variant>
        <vt:lpwstr/>
      </vt:variant>
      <vt:variant>
        <vt:lpwstr>_Toc384824139</vt:lpwstr>
      </vt:variant>
      <vt:variant>
        <vt:i4>1048628</vt:i4>
      </vt:variant>
      <vt:variant>
        <vt:i4>164</vt:i4>
      </vt:variant>
      <vt:variant>
        <vt:i4>0</vt:i4>
      </vt:variant>
      <vt:variant>
        <vt:i4>5</vt:i4>
      </vt:variant>
      <vt:variant>
        <vt:lpwstr/>
      </vt:variant>
      <vt:variant>
        <vt:lpwstr>_Toc384824138</vt:lpwstr>
      </vt:variant>
      <vt:variant>
        <vt:i4>1048628</vt:i4>
      </vt:variant>
      <vt:variant>
        <vt:i4>158</vt:i4>
      </vt:variant>
      <vt:variant>
        <vt:i4>0</vt:i4>
      </vt:variant>
      <vt:variant>
        <vt:i4>5</vt:i4>
      </vt:variant>
      <vt:variant>
        <vt:lpwstr/>
      </vt:variant>
      <vt:variant>
        <vt:lpwstr>_Toc384824137</vt:lpwstr>
      </vt:variant>
      <vt:variant>
        <vt:i4>1048628</vt:i4>
      </vt:variant>
      <vt:variant>
        <vt:i4>152</vt:i4>
      </vt:variant>
      <vt:variant>
        <vt:i4>0</vt:i4>
      </vt:variant>
      <vt:variant>
        <vt:i4>5</vt:i4>
      </vt:variant>
      <vt:variant>
        <vt:lpwstr/>
      </vt:variant>
      <vt:variant>
        <vt:lpwstr>_Toc384824136</vt:lpwstr>
      </vt:variant>
      <vt:variant>
        <vt:i4>1048628</vt:i4>
      </vt:variant>
      <vt:variant>
        <vt:i4>146</vt:i4>
      </vt:variant>
      <vt:variant>
        <vt:i4>0</vt:i4>
      </vt:variant>
      <vt:variant>
        <vt:i4>5</vt:i4>
      </vt:variant>
      <vt:variant>
        <vt:lpwstr/>
      </vt:variant>
      <vt:variant>
        <vt:lpwstr>_Toc384824135</vt:lpwstr>
      </vt:variant>
      <vt:variant>
        <vt:i4>1048628</vt:i4>
      </vt:variant>
      <vt:variant>
        <vt:i4>140</vt:i4>
      </vt:variant>
      <vt:variant>
        <vt:i4>0</vt:i4>
      </vt:variant>
      <vt:variant>
        <vt:i4>5</vt:i4>
      </vt:variant>
      <vt:variant>
        <vt:lpwstr/>
      </vt:variant>
      <vt:variant>
        <vt:lpwstr>_Toc384824134</vt:lpwstr>
      </vt:variant>
      <vt:variant>
        <vt:i4>1048628</vt:i4>
      </vt:variant>
      <vt:variant>
        <vt:i4>134</vt:i4>
      </vt:variant>
      <vt:variant>
        <vt:i4>0</vt:i4>
      </vt:variant>
      <vt:variant>
        <vt:i4>5</vt:i4>
      </vt:variant>
      <vt:variant>
        <vt:lpwstr/>
      </vt:variant>
      <vt:variant>
        <vt:lpwstr>_Toc384824133</vt:lpwstr>
      </vt:variant>
      <vt:variant>
        <vt:i4>1048628</vt:i4>
      </vt:variant>
      <vt:variant>
        <vt:i4>128</vt:i4>
      </vt:variant>
      <vt:variant>
        <vt:i4>0</vt:i4>
      </vt:variant>
      <vt:variant>
        <vt:i4>5</vt:i4>
      </vt:variant>
      <vt:variant>
        <vt:lpwstr/>
      </vt:variant>
      <vt:variant>
        <vt:lpwstr>_Toc384824132</vt:lpwstr>
      </vt:variant>
      <vt:variant>
        <vt:i4>1048628</vt:i4>
      </vt:variant>
      <vt:variant>
        <vt:i4>122</vt:i4>
      </vt:variant>
      <vt:variant>
        <vt:i4>0</vt:i4>
      </vt:variant>
      <vt:variant>
        <vt:i4>5</vt:i4>
      </vt:variant>
      <vt:variant>
        <vt:lpwstr/>
      </vt:variant>
      <vt:variant>
        <vt:lpwstr>_Toc384824131</vt:lpwstr>
      </vt:variant>
      <vt:variant>
        <vt:i4>1048628</vt:i4>
      </vt:variant>
      <vt:variant>
        <vt:i4>116</vt:i4>
      </vt:variant>
      <vt:variant>
        <vt:i4>0</vt:i4>
      </vt:variant>
      <vt:variant>
        <vt:i4>5</vt:i4>
      </vt:variant>
      <vt:variant>
        <vt:lpwstr/>
      </vt:variant>
      <vt:variant>
        <vt:lpwstr>_Toc384824130</vt:lpwstr>
      </vt:variant>
      <vt:variant>
        <vt:i4>1114164</vt:i4>
      </vt:variant>
      <vt:variant>
        <vt:i4>110</vt:i4>
      </vt:variant>
      <vt:variant>
        <vt:i4>0</vt:i4>
      </vt:variant>
      <vt:variant>
        <vt:i4>5</vt:i4>
      </vt:variant>
      <vt:variant>
        <vt:lpwstr/>
      </vt:variant>
      <vt:variant>
        <vt:lpwstr>_Toc384824129</vt:lpwstr>
      </vt:variant>
      <vt:variant>
        <vt:i4>1114164</vt:i4>
      </vt:variant>
      <vt:variant>
        <vt:i4>104</vt:i4>
      </vt:variant>
      <vt:variant>
        <vt:i4>0</vt:i4>
      </vt:variant>
      <vt:variant>
        <vt:i4>5</vt:i4>
      </vt:variant>
      <vt:variant>
        <vt:lpwstr/>
      </vt:variant>
      <vt:variant>
        <vt:lpwstr>_Toc384824128</vt:lpwstr>
      </vt:variant>
      <vt:variant>
        <vt:i4>1114164</vt:i4>
      </vt:variant>
      <vt:variant>
        <vt:i4>98</vt:i4>
      </vt:variant>
      <vt:variant>
        <vt:i4>0</vt:i4>
      </vt:variant>
      <vt:variant>
        <vt:i4>5</vt:i4>
      </vt:variant>
      <vt:variant>
        <vt:lpwstr/>
      </vt:variant>
      <vt:variant>
        <vt:lpwstr>_Toc384824127</vt:lpwstr>
      </vt:variant>
      <vt:variant>
        <vt:i4>1114164</vt:i4>
      </vt:variant>
      <vt:variant>
        <vt:i4>92</vt:i4>
      </vt:variant>
      <vt:variant>
        <vt:i4>0</vt:i4>
      </vt:variant>
      <vt:variant>
        <vt:i4>5</vt:i4>
      </vt:variant>
      <vt:variant>
        <vt:lpwstr/>
      </vt:variant>
      <vt:variant>
        <vt:lpwstr>_Toc384824126</vt:lpwstr>
      </vt:variant>
      <vt:variant>
        <vt:i4>1114164</vt:i4>
      </vt:variant>
      <vt:variant>
        <vt:i4>86</vt:i4>
      </vt:variant>
      <vt:variant>
        <vt:i4>0</vt:i4>
      </vt:variant>
      <vt:variant>
        <vt:i4>5</vt:i4>
      </vt:variant>
      <vt:variant>
        <vt:lpwstr/>
      </vt:variant>
      <vt:variant>
        <vt:lpwstr>_Toc384824125</vt:lpwstr>
      </vt:variant>
      <vt:variant>
        <vt:i4>1114164</vt:i4>
      </vt:variant>
      <vt:variant>
        <vt:i4>80</vt:i4>
      </vt:variant>
      <vt:variant>
        <vt:i4>0</vt:i4>
      </vt:variant>
      <vt:variant>
        <vt:i4>5</vt:i4>
      </vt:variant>
      <vt:variant>
        <vt:lpwstr/>
      </vt:variant>
      <vt:variant>
        <vt:lpwstr>_Toc384824124</vt:lpwstr>
      </vt:variant>
      <vt:variant>
        <vt:i4>1114164</vt:i4>
      </vt:variant>
      <vt:variant>
        <vt:i4>74</vt:i4>
      </vt:variant>
      <vt:variant>
        <vt:i4>0</vt:i4>
      </vt:variant>
      <vt:variant>
        <vt:i4>5</vt:i4>
      </vt:variant>
      <vt:variant>
        <vt:lpwstr/>
      </vt:variant>
      <vt:variant>
        <vt:lpwstr>_Toc384824123</vt:lpwstr>
      </vt:variant>
      <vt:variant>
        <vt:i4>1114164</vt:i4>
      </vt:variant>
      <vt:variant>
        <vt:i4>68</vt:i4>
      </vt:variant>
      <vt:variant>
        <vt:i4>0</vt:i4>
      </vt:variant>
      <vt:variant>
        <vt:i4>5</vt:i4>
      </vt:variant>
      <vt:variant>
        <vt:lpwstr/>
      </vt:variant>
      <vt:variant>
        <vt:lpwstr>_Toc384824122</vt:lpwstr>
      </vt:variant>
      <vt:variant>
        <vt:i4>1114164</vt:i4>
      </vt:variant>
      <vt:variant>
        <vt:i4>62</vt:i4>
      </vt:variant>
      <vt:variant>
        <vt:i4>0</vt:i4>
      </vt:variant>
      <vt:variant>
        <vt:i4>5</vt:i4>
      </vt:variant>
      <vt:variant>
        <vt:lpwstr/>
      </vt:variant>
      <vt:variant>
        <vt:lpwstr>_Toc384824121</vt:lpwstr>
      </vt:variant>
      <vt:variant>
        <vt:i4>1114164</vt:i4>
      </vt:variant>
      <vt:variant>
        <vt:i4>56</vt:i4>
      </vt:variant>
      <vt:variant>
        <vt:i4>0</vt:i4>
      </vt:variant>
      <vt:variant>
        <vt:i4>5</vt:i4>
      </vt:variant>
      <vt:variant>
        <vt:lpwstr/>
      </vt:variant>
      <vt:variant>
        <vt:lpwstr>_Toc384824120</vt:lpwstr>
      </vt:variant>
      <vt:variant>
        <vt:i4>1179700</vt:i4>
      </vt:variant>
      <vt:variant>
        <vt:i4>50</vt:i4>
      </vt:variant>
      <vt:variant>
        <vt:i4>0</vt:i4>
      </vt:variant>
      <vt:variant>
        <vt:i4>5</vt:i4>
      </vt:variant>
      <vt:variant>
        <vt:lpwstr/>
      </vt:variant>
      <vt:variant>
        <vt:lpwstr>_Toc384824119</vt:lpwstr>
      </vt:variant>
      <vt:variant>
        <vt:i4>1179700</vt:i4>
      </vt:variant>
      <vt:variant>
        <vt:i4>44</vt:i4>
      </vt:variant>
      <vt:variant>
        <vt:i4>0</vt:i4>
      </vt:variant>
      <vt:variant>
        <vt:i4>5</vt:i4>
      </vt:variant>
      <vt:variant>
        <vt:lpwstr/>
      </vt:variant>
      <vt:variant>
        <vt:lpwstr>_Toc384824118</vt:lpwstr>
      </vt:variant>
      <vt:variant>
        <vt:i4>1179700</vt:i4>
      </vt:variant>
      <vt:variant>
        <vt:i4>38</vt:i4>
      </vt:variant>
      <vt:variant>
        <vt:i4>0</vt:i4>
      </vt:variant>
      <vt:variant>
        <vt:i4>5</vt:i4>
      </vt:variant>
      <vt:variant>
        <vt:lpwstr/>
      </vt:variant>
      <vt:variant>
        <vt:lpwstr>_Toc384824117</vt:lpwstr>
      </vt:variant>
      <vt:variant>
        <vt:i4>1179700</vt:i4>
      </vt:variant>
      <vt:variant>
        <vt:i4>32</vt:i4>
      </vt:variant>
      <vt:variant>
        <vt:i4>0</vt:i4>
      </vt:variant>
      <vt:variant>
        <vt:i4>5</vt:i4>
      </vt:variant>
      <vt:variant>
        <vt:lpwstr/>
      </vt:variant>
      <vt:variant>
        <vt:lpwstr>_Toc384824116</vt:lpwstr>
      </vt:variant>
      <vt:variant>
        <vt:i4>1179700</vt:i4>
      </vt:variant>
      <vt:variant>
        <vt:i4>26</vt:i4>
      </vt:variant>
      <vt:variant>
        <vt:i4>0</vt:i4>
      </vt:variant>
      <vt:variant>
        <vt:i4>5</vt:i4>
      </vt:variant>
      <vt:variant>
        <vt:lpwstr/>
      </vt:variant>
      <vt:variant>
        <vt:lpwstr>_Toc384824115</vt:lpwstr>
      </vt:variant>
      <vt:variant>
        <vt:i4>1179700</vt:i4>
      </vt:variant>
      <vt:variant>
        <vt:i4>20</vt:i4>
      </vt:variant>
      <vt:variant>
        <vt:i4>0</vt:i4>
      </vt:variant>
      <vt:variant>
        <vt:i4>5</vt:i4>
      </vt:variant>
      <vt:variant>
        <vt:lpwstr/>
      </vt:variant>
      <vt:variant>
        <vt:lpwstr>_Toc384824114</vt:lpwstr>
      </vt:variant>
      <vt:variant>
        <vt:i4>1179700</vt:i4>
      </vt:variant>
      <vt:variant>
        <vt:i4>14</vt:i4>
      </vt:variant>
      <vt:variant>
        <vt:i4>0</vt:i4>
      </vt:variant>
      <vt:variant>
        <vt:i4>5</vt:i4>
      </vt:variant>
      <vt:variant>
        <vt:lpwstr/>
      </vt:variant>
      <vt:variant>
        <vt:lpwstr>_Toc384824113</vt:lpwstr>
      </vt:variant>
      <vt:variant>
        <vt:i4>1179700</vt:i4>
      </vt:variant>
      <vt:variant>
        <vt:i4>8</vt:i4>
      </vt:variant>
      <vt:variant>
        <vt:i4>0</vt:i4>
      </vt:variant>
      <vt:variant>
        <vt:i4>5</vt:i4>
      </vt:variant>
      <vt:variant>
        <vt:lpwstr/>
      </vt:variant>
      <vt:variant>
        <vt:lpwstr>_Toc384824112</vt:lpwstr>
      </vt:variant>
      <vt:variant>
        <vt:i4>1179700</vt:i4>
      </vt:variant>
      <vt:variant>
        <vt:i4>2</vt:i4>
      </vt:variant>
      <vt:variant>
        <vt:i4>0</vt:i4>
      </vt:variant>
      <vt:variant>
        <vt:i4>5</vt:i4>
      </vt:variant>
      <vt:variant>
        <vt:lpwstr/>
      </vt:variant>
      <vt:variant>
        <vt:lpwstr>_Toc384824111</vt:lpwstr>
      </vt:variant>
      <vt:variant>
        <vt:i4>8257594</vt:i4>
      </vt:variant>
      <vt:variant>
        <vt:i4>60</vt:i4>
      </vt:variant>
      <vt:variant>
        <vt:i4>0</vt:i4>
      </vt:variant>
      <vt:variant>
        <vt:i4>5</vt:i4>
      </vt:variant>
      <vt:variant>
        <vt:lpwstr>http://www.eurofound.europa.eu/eiro/2009/06/articles/pt0906059i.htm</vt:lpwstr>
      </vt:variant>
      <vt:variant>
        <vt:lpwstr/>
      </vt:variant>
      <vt:variant>
        <vt:i4>7995499</vt:i4>
      </vt:variant>
      <vt:variant>
        <vt:i4>30</vt:i4>
      </vt:variant>
      <vt:variant>
        <vt:i4>0</vt:i4>
      </vt:variant>
      <vt:variant>
        <vt:i4>5</vt:i4>
      </vt:variant>
      <vt:variant>
        <vt:lpwstr>http://www.gtap.agecon.purdue.edu/databases/v8/default.asp</vt:lpwstr>
      </vt:variant>
      <vt:variant>
        <vt:lpwstr/>
      </vt:variant>
      <vt:variant>
        <vt:i4>4194322</vt:i4>
      </vt:variant>
      <vt:variant>
        <vt:i4>27</vt:i4>
      </vt:variant>
      <vt:variant>
        <vt:i4>0</vt:i4>
      </vt:variant>
      <vt:variant>
        <vt:i4>5</vt:i4>
      </vt:variant>
      <vt:variant>
        <vt:lpwstr>http://www.cepii.fr/anglaisgraph/bdd/baci.htm</vt:lpwstr>
      </vt:variant>
      <vt:variant>
        <vt:lpwstr/>
      </vt:variant>
      <vt:variant>
        <vt:i4>5832726</vt:i4>
      </vt:variant>
      <vt:variant>
        <vt:i4>18</vt:i4>
      </vt:variant>
      <vt:variant>
        <vt:i4>0</vt:i4>
      </vt:variant>
      <vt:variant>
        <vt:i4>5</vt:i4>
      </vt:variant>
      <vt:variant>
        <vt:lpwstr>http://www.worldmrio.com/</vt:lpwstr>
      </vt:variant>
      <vt:variant>
        <vt:lpwstr/>
      </vt:variant>
      <vt:variant>
        <vt:i4>1966155</vt:i4>
      </vt:variant>
      <vt:variant>
        <vt:i4>15</vt:i4>
      </vt:variant>
      <vt:variant>
        <vt:i4>0</vt:i4>
      </vt:variant>
      <vt:variant>
        <vt:i4>5</vt:i4>
      </vt:variant>
      <vt:variant>
        <vt:lpwstr>http://www.oecd.org/industry/ind/measuringtradeinvalue-addedanoecd-wtojointinitiative.htm</vt:lpwstr>
      </vt:variant>
      <vt:variant>
        <vt:lpwstr/>
      </vt:variant>
      <vt:variant>
        <vt:i4>6291492</vt:i4>
      </vt:variant>
      <vt:variant>
        <vt:i4>9</vt:i4>
      </vt:variant>
      <vt:variant>
        <vt:i4>0</vt:i4>
      </vt:variant>
      <vt:variant>
        <vt:i4>5</vt:i4>
      </vt:variant>
      <vt:variant>
        <vt:lpwstr>http://www.oecd.org/industry/ind/stanstructuralanalysisdatabase.htm</vt:lpwstr>
      </vt:variant>
      <vt:variant>
        <vt:lpwstr/>
      </vt:variant>
      <vt:variant>
        <vt:i4>5767247</vt:i4>
      </vt:variant>
      <vt:variant>
        <vt:i4>6</vt:i4>
      </vt:variant>
      <vt:variant>
        <vt:i4>0</vt:i4>
      </vt:variant>
      <vt:variant>
        <vt:i4>5</vt:i4>
      </vt:variant>
      <vt:variant>
        <vt:lpwstr>http://www.oecd.org/trade/its/oecdstatisticsoninternationaltradeinservicesdetailedtablesbypartnercountry2004-20072009edition.htm</vt:lpwstr>
      </vt:variant>
      <vt:variant>
        <vt:lpwstr/>
      </vt:variant>
      <vt:variant>
        <vt:i4>7798819</vt:i4>
      </vt:variant>
      <vt:variant>
        <vt:i4>3</vt:i4>
      </vt:variant>
      <vt:variant>
        <vt:i4>0</vt:i4>
      </vt:variant>
      <vt:variant>
        <vt:i4>5</vt:i4>
      </vt:variant>
      <vt:variant>
        <vt:lpwstr>http://www.oecd.org/trade/bilateraltradeingoodsbyindustryandend-usecategory.htm</vt:lpwstr>
      </vt:variant>
      <vt:variant>
        <vt:lpwstr/>
      </vt:variant>
      <vt:variant>
        <vt:i4>4653078</vt:i4>
      </vt:variant>
      <vt:variant>
        <vt:i4>0</vt:i4>
      </vt:variant>
      <vt:variant>
        <vt:i4>0</vt:i4>
      </vt:variant>
      <vt:variant>
        <vt:i4>5</vt:i4>
      </vt:variant>
      <vt:variant>
        <vt:lpwstr>http://www.globalvaluechains.org/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FRONTPAGE</dc:title>
  <dc:creator>Enrique Martínez</dc:creator>
  <cp:lastModifiedBy>Maria Paula Fontoura</cp:lastModifiedBy>
  <cp:revision>3</cp:revision>
  <cp:lastPrinted>2017-09-24T15:17:00Z</cp:lastPrinted>
  <dcterms:created xsi:type="dcterms:W3CDTF">2018-08-23T11:41:00Z</dcterms:created>
  <dcterms:modified xsi:type="dcterms:W3CDTF">2018-08-23T11:42:00Z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-1964466467</vt:i4>
  </property>
  <property fmtid="{D5CDD505-2E9C-101B-9397-08002B2CF9AE}" pid="3" name="_EmailSubject">
    <vt:lpwstr>take 1</vt:lpwstr>
  </property>
  <property fmtid="{D5CDD505-2E9C-101B-9397-08002B2CF9AE}" pid="4" name="_AuthorEmail">
    <vt:lpwstr>Daniela-De-Almei.PEREIRA@cec.eu.int</vt:lpwstr>
  </property>
  <property fmtid="{D5CDD505-2E9C-101B-9397-08002B2CF9AE}" pid="5" name="_AuthorEmailDisplayName">
    <vt:lpwstr>PEREIRA Daniela De Almeida (REGIO)</vt:lpwstr>
  </property>
  <property fmtid="{D5CDD505-2E9C-101B-9397-08002B2CF9AE}" pid="6" name="_PreviousAdHocReviewCycleID">
    <vt:i4>2016741573</vt:i4>
  </property>
  <property fmtid="{D5CDD505-2E9C-101B-9397-08002B2CF9AE}" pid="7" name="_ReviewingToolsShownOnce">
    <vt:lpwstr/>
  </property>
</Properties>
</file>